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(RULE 13D - 102)</w:t>
      </w:r>
    </w:p>
    <w:p>
      <w:pPr>
        <w:spacing w:after="0" w:line="203" w:lineRule="exact"/>
        <w:rPr>
          <w:sz w:val="24"/>
          <w:szCs w:val="24"/>
          <w:color w:val="auto"/>
        </w:rPr>
      </w:pPr>
    </w:p>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13d-1(b), (c) AND (d) AND AMENDMENTS THERETO FILED PURSUANT TO 13d-2(b)</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Streamline Health Solutions,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$0.01</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86323X106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26, 2022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5220" w:hanging="202"/>
        <w:spacing w:after="0"/>
        <w:tabs>
          <w:tab w:leader="none" w:pos="52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left="3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 the Notes</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Page 2 of 7</w:t>
      </w:r>
    </w:p>
    <w:p>
      <w:pPr>
        <w:spacing w:after="0" w:line="225" w:lineRule="exact"/>
        <w:rPr>
          <w:sz w:val="20"/>
          <w:szCs w:val="20"/>
          <w:color w:val="auto"/>
        </w:rPr>
      </w:pPr>
    </w:p>
    <w:p>
      <w:pPr>
        <w:ind w:left="1020" w:hanging="1012"/>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GCI Partners Opportunity Fund LP</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45-2537615</w:t>
      </w:r>
    </w:p>
    <w:p>
      <w:pPr>
        <w:spacing w:after="0" w:line="207"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96" w:lineRule="exact"/>
        <w:rPr>
          <w:rFonts w:ascii="Times New Roman" w:cs="Times New Roman" w:eastAsia="Times New Roman" w:hAnsi="Times New Roman"/>
          <w:sz w:val="18"/>
          <w:szCs w:val="18"/>
          <w:color w:val="auto"/>
        </w:rPr>
      </w:pPr>
    </w:p>
    <w:p>
      <w:pPr>
        <w:ind w:left="1260" w:hanging="240"/>
        <w:spacing w:after="0" w:line="207" w:lineRule="exact"/>
        <w:tabs>
          <w:tab w:leader="none" w:pos="126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280" w:hanging="260"/>
        <w:spacing w:after="0" w:line="207" w:lineRule="exact"/>
        <w:tabs>
          <w:tab w:leader="none" w:pos="128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BENEFICIALLY OWNED BY EACH REPORTING PERSON WITH:</w:t>
      </w:r>
    </w:p>
    <w:p>
      <w:pPr>
        <w:spacing w:after="0" w:line="225" w:lineRule="exact"/>
        <w:rPr>
          <w:sz w:val="20"/>
          <w:szCs w:val="20"/>
          <w:color w:val="auto"/>
        </w:rPr>
      </w:pPr>
    </w:p>
    <w:p>
      <w:pPr>
        <w:ind w:left="1500" w:right="8360" w:hanging="1492"/>
        <w:spacing w:after="0" w:line="500" w:lineRule="auto"/>
        <w:tabs>
          <w:tab w:leader="none" w:pos="10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641,098</w:t>
      </w:r>
    </w:p>
    <w:p>
      <w:pPr>
        <w:spacing w:after="0" w:line="1" w:lineRule="exact"/>
        <w:rPr>
          <w:rFonts w:ascii="Times New Roman" w:cs="Times New Roman" w:eastAsia="Times New Roman" w:hAnsi="Times New Roman"/>
          <w:sz w:val="18"/>
          <w:szCs w:val="18"/>
          <w:color w:val="auto"/>
        </w:rPr>
      </w:pPr>
    </w:p>
    <w:p>
      <w:pPr>
        <w:ind w:left="1500" w:right="8100" w:hanging="1492"/>
        <w:spacing w:after="0" w:line="500" w:lineRule="auto"/>
        <w:tabs>
          <w:tab w:leader="none" w:pos="10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2,194,716</w:t>
      </w:r>
    </w:p>
    <w:p>
      <w:pPr>
        <w:spacing w:after="0" w:line="1" w:lineRule="exact"/>
        <w:rPr>
          <w:rFonts w:ascii="Times New Roman" w:cs="Times New Roman" w:eastAsia="Times New Roman" w:hAnsi="Times New Roman"/>
          <w:sz w:val="18"/>
          <w:szCs w:val="18"/>
          <w:color w:val="auto"/>
        </w:rPr>
      </w:pPr>
    </w:p>
    <w:p>
      <w:pPr>
        <w:ind w:left="1500" w:right="7960" w:hanging="1492"/>
        <w:spacing w:after="0" w:line="500" w:lineRule="auto"/>
        <w:tabs>
          <w:tab w:leader="none" w:pos="10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641,098</w:t>
      </w:r>
    </w:p>
    <w:p>
      <w:pPr>
        <w:spacing w:after="0" w:line="1" w:lineRule="exact"/>
        <w:rPr>
          <w:rFonts w:ascii="Times New Roman" w:cs="Times New Roman" w:eastAsia="Times New Roman" w:hAnsi="Times New Roman"/>
          <w:sz w:val="18"/>
          <w:szCs w:val="18"/>
          <w:color w:val="auto"/>
        </w:rPr>
      </w:pPr>
    </w:p>
    <w:p>
      <w:pPr>
        <w:ind w:left="1500" w:right="7700" w:hanging="1492"/>
        <w:spacing w:after="0" w:line="500" w:lineRule="auto"/>
        <w:tabs>
          <w:tab w:leader="none" w:pos="10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2,194,716</w:t>
      </w:r>
    </w:p>
    <w:p>
      <w:pPr>
        <w:spacing w:after="0" w:line="1" w:lineRule="exact"/>
        <w:rPr>
          <w:rFonts w:ascii="Times New Roman" w:cs="Times New Roman" w:eastAsia="Times New Roman" w:hAnsi="Times New Roman"/>
          <w:sz w:val="18"/>
          <w:szCs w:val="18"/>
          <w:color w:val="auto"/>
        </w:rPr>
      </w:pPr>
    </w:p>
    <w:p>
      <w:pPr>
        <w:ind w:left="1500" w:right="3660" w:hanging="1492"/>
        <w:spacing w:after="0" w:line="500" w:lineRule="auto"/>
        <w:tabs>
          <w:tab w:leader="none" w:pos="101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2,835,814</w:t>
      </w:r>
    </w:p>
    <w:p>
      <w:pPr>
        <w:spacing w:after="0" w:line="1" w:lineRule="exact"/>
        <w:rPr>
          <w:rFonts w:ascii="Times New Roman" w:cs="Times New Roman" w:eastAsia="Times New Roman" w:hAnsi="Times New Roman"/>
          <w:sz w:val="18"/>
          <w:szCs w:val="18"/>
          <w:color w:val="auto"/>
        </w:rPr>
      </w:pPr>
    </w:p>
    <w:p>
      <w:pPr>
        <w:ind w:left="1020" w:right="5680" w:hanging="1012"/>
        <w:spacing w:after="0" w:line="235" w:lineRule="exact"/>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178" w:lineRule="exact"/>
        <w:rPr>
          <w:rFonts w:ascii="Times New Roman" w:cs="Times New Roman" w:eastAsia="Times New Roman" w:hAnsi="Times New Roman"/>
          <w:sz w:val="18"/>
          <w:szCs w:val="18"/>
          <w:color w:val="auto"/>
        </w:rPr>
      </w:pPr>
    </w:p>
    <w:p>
      <w:pPr>
        <w:ind w:left="1020" w:hanging="1012"/>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6.0%</w:t>
      </w:r>
    </w:p>
    <w:p>
      <w:pPr>
        <w:spacing w:after="0" w:line="225" w:lineRule="exact"/>
        <w:rPr>
          <w:sz w:val="20"/>
          <w:szCs w:val="20"/>
          <w:color w:val="auto"/>
        </w:rPr>
      </w:pPr>
    </w:p>
    <w:p>
      <w:pPr>
        <w:ind w:left="1500" w:right="7720" w:hanging="1492"/>
        <w:spacing w:after="0" w:line="736" w:lineRule="auto"/>
        <w:tabs>
          <w:tab w:leader="none" w:pos="10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Page 3 of 7</w:t>
      </w:r>
    </w:p>
    <w:p>
      <w:pPr>
        <w:spacing w:after="0" w:line="225" w:lineRule="exact"/>
        <w:rPr>
          <w:sz w:val="20"/>
          <w:szCs w:val="20"/>
          <w:color w:val="auto"/>
        </w:rPr>
      </w:pPr>
    </w:p>
    <w:p>
      <w:pPr>
        <w:ind w:left="1020" w:hanging="1012"/>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Niraj A. Gupta</w:t>
      </w:r>
    </w:p>
    <w:p>
      <w:pPr>
        <w:spacing w:after="0" w:line="229" w:lineRule="exact"/>
        <w:rPr>
          <w:sz w:val="20"/>
          <w:szCs w:val="20"/>
          <w:color w:val="auto"/>
        </w:rPr>
      </w:pPr>
    </w:p>
    <w:p>
      <w:pPr>
        <w:ind w:left="1020" w:hanging="101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96" w:lineRule="exact"/>
        <w:rPr>
          <w:rFonts w:ascii="Times New Roman" w:cs="Times New Roman" w:eastAsia="Times New Roman" w:hAnsi="Times New Roman"/>
          <w:sz w:val="18"/>
          <w:szCs w:val="18"/>
          <w:color w:val="auto"/>
        </w:rPr>
      </w:pPr>
    </w:p>
    <w:p>
      <w:pPr>
        <w:ind w:left="1260" w:hanging="240"/>
        <w:spacing w:after="0" w:line="207" w:lineRule="exact"/>
        <w:tabs>
          <w:tab w:leader="none" w:pos="126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280" w:hanging="260"/>
        <w:spacing w:after="0" w:line="207" w:lineRule="exact"/>
        <w:tabs>
          <w:tab w:leader="none" w:pos="128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5" w:lineRule="exact"/>
        <w:rPr>
          <w:rFonts w:ascii="Times New Roman" w:cs="Times New Roman" w:eastAsia="Times New Roman" w:hAnsi="Times New Roman"/>
          <w:sz w:val="18"/>
          <w:szCs w:val="18"/>
          <w:color w:val="auto"/>
        </w:rPr>
      </w:pPr>
    </w:p>
    <w:p>
      <w:pPr>
        <w:ind w:left="1020" w:hanging="101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25" w:lineRule="exact"/>
        <w:rPr>
          <w:rFonts w:ascii="Times New Roman" w:cs="Times New Roman" w:eastAsia="Times New Roman" w:hAnsi="Times New Roman"/>
          <w:sz w:val="18"/>
          <w:szCs w:val="18"/>
          <w:color w:val="auto"/>
        </w:rPr>
      </w:pPr>
    </w:p>
    <w:p>
      <w:pPr>
        <w:ind w:left="1020" w:hanging="1012"/>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00" w:right="8360" w:hanging="1492"/>
        <w:spacing w:after="0" w:line="500" w:lineRule="auto"/>
        <w:tabs>
          <w:tab w:leader="none" w:pos="10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641,098</w:t>
      </w:r>
    </w:p>
    <w:p>
      <w:pPr>
        <w:spacing w:after="0" w:line="1" w:lineRule="exact"/>
        <w:rPr>
          <w:rFonts w:ascii="Times New Roman" w:cs="Times New Roman" w:eastAsia="Times New Roman" w:hAnsi="Times New Roman"/>
          <w:sz w:val="18"/>
          <w:szCs w:val="18"/>
          <w:color w:val="auto"/>
        </w:rPr>
      </w:pPr>
    </w:p>
    <w:p>
      <w:pPr>
        <w:ind w:left="1500" w:right="8100" w:hanging="1492"/>
        <w:spacing w:after="0" w:line="500" w:lineRule="auto"/>
        <w:tabs>
          <w:tab w:leader="none" w:pos="10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2,194,716</w:t>
      </w:r>
    </w:p>
    <w:p>
      <w:pPr>
        <w:spacing w:after="0" w:line="1" w:lineRule="exact"/>
        <w:rPr>
          <w:rFonts w:ascii="Times New Roman" w:cs="Times New Roman" w:eastAsia="Times New Roman" w:hAnsi="Times New Roman"/>
          <w:sz w:val="18"/>
          <w:szCs w:val="18"/>
          <w:color w:val="auto"/>
        </w:rPr>
      </w:pPr>
    </w:p>
    <w:p>
      <w:pPr>
        <w:ind w:left="1500" w:right="7960" w:hanging="1492"/>
        <w:spacing w:after="0" w:line="500" w:lineRule="auto"/>
        <w:tabs>
          <w:tab w:leader="none" w:pos="10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641,098</w:t>
      </w:r>
    </w:p>
    <w:p>
      <w:pPr>
        <w:spacing w:after="0" w:line="1" w:lineRule="exact"/>
        <w:rPr>
          <w:rFonts w:ascii="Times New Roman" w:cs="Times New Roman" w:eastAsia="Times New Roman" w:hAnsi="Times New Roman"/>
          <w:sz w:val="18"/>
          <w:szCs w:val="18"/>
          <w:color w:val="auto"/>
        </w:rPr>
      </w:pPr>
    </w:p>
    <w:p>
      <w:pPr>
        <w:ind w:left="1500" w:right="7700" w:hanging="1492"/>
        <w:spacing w:after="0" w:line="500" w:lineRule="auto"/>
        <w:tabs>
          <w:tab w:leader="none" w:pos="10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2,194,716</w:t>
      </w:r>
    </w:p>
    <w:p>
      <w:pPr>
        <w:spacing w:after="0" w:line="1" w:lineRule="exact"/>
        <w:rPr>
          <w:rFonts w:ascii="Times New Roman" w:cs="Times New Roman" w:eastAsia="Times New Roman" w:hAnsi="Times New Roman"/>
          <w:sz w:val="18"/>
          <w:szCs w:val="18"/>
          <w:color w:val="auto"/>
        </w:rPr>
      </w:pPr>
    </w:p>
    <w:p>
      <w:pPr>
        <w:ind w:left="1500" w:right="3660" w:hanging="1492"/>
        <w:spacing w:after="0" w:line="500" w:lineRule="auto"/>
        <w:tabs>
          <w:tab w:leader="none" w:pos="10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2,835,814</w:t>
      </w:r>
    </w:p>
    <w:p>
      <w:pPr>
        <w:spacing w:after="0" w:line="1" w:lineRule="exact"/>
        <w:rPr>
          <w:rFonts w:ascii="Times New Roman" w:cs="Times New Roman" w:eastAsia="Times New Roman" w:hAnsi="Times New Roman"/>
          <w:sz w:val="18"/>
          <w:szCs w:val="18"/>
          <w:color w:val="auto"/>
        </w:rPr>
      </w:pPr>
    </w:p>
    <w:p>
      <w:pPr>
        <w:ind w:left="1020" w:right="5680" w:hanging="1012"/>
        <w:spacing w:after="0" w:line="235" w:lineRule="exact"/>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178" w:lineRule="exact"/>
        <w:rPr>
          <w:rFonts w:ascii="Times New Roman" w:cs="Times New Roman" w:eastAsia="Times New Roman" w:hAnsi="Times New Roman"/>
          <w:sz w:val="18"/>
          <w:szCs w:val="18"/>
          <w:color w:val="auto"/>
        </w:rPr>
      </w:pPr>
    </w:p>
    <w:p>
      <w:pPr>
        <w:ind w:left="1020" w:hanging="1012"/>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6.0%</w:t>
      </w:r>
    </w:p>
    <w:p>
      <w:pPr>
        <w:spacing w:after="0" w:line="225" w:lineRule="exact"/>
        <w:rPr>
          <w:sz w:val="20"/>
          <w:szCs w:val="20"/>
          <w:color w:val="auto"/>
        </w:rPr>
      </w:pPr>
    </w:p>
    <w:p>
      <w:pPr>
        <w:ind w:left="1500" w:right="7720" w:hanging="1492"/>
        <w:spacing w:after="0" w:line="736" w:lineRule="auto"/>
        <w:tabs>
          <w:tab w:leader="none" w:pos="10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Page 4 of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13G reflects the beneficial ownership of the Reporting Persons (as defined below)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 CONTROL DATE – MO/DAY/YEAR PLEASE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Streamline Health Solutions Inc. (the "Issuer")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1230 Peachtree Street NE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Suite 1000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Persons Filing: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GCI Partners Opportunity Fund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Niraj A. Gupta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GCI Partners Opportunity Fund LP</w:t>
      </w:r>
    </w:p>
    <w:p>
      <w:pPr>
        <w:ind w:left="660"/>
        <w:spacing w:after="0" w:line="205" w:lineRule="auto"/>
        <w:rPr>
          <w:sz w:val="20"/>
          <w:szCs w:val="20"/>
          <w:color w:val="auto"/>
        </w:rPr>
      </w:pPr>
      <w:r>
        <w:rPr>
          <w:rFonts w:ascii="Times New Roman" w:cs="Times New Roman" w:eastAsia="Times New Roman" w:hAnsi="Times New Roman"/>
          <w:sz w:val="18"/>
          <w:szCs w:val="18"/>
          <w:color w:val="auto"/>
        </w:rPr>
        <w:t>1350 Avenue of the Americas,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Niraj A. Gupta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GCI Partners Opportunity Fund LP</w:t>
      </w:r>
    </w:p>
    <w:p>
      <w:pPr>
        <w:ind w:left="660"/>
        <w:spacing w:after="0" w:line="192" w:lineRule="auto"/>
        <w:rPr>
          <w:sz w:val="20"/>
          <w:szCs w:val="20"/>
          <w:color w:val="auto"/>
        </w:rPr>
      </w:pPr>
      <w:r>
        <w:rPr>
          <w:rFonts w:ascii="Times New Roman" w:cs="Times New Roman" w:eastAsia="Times New Roman" w:hAnsi="Times New Roman"/>
          <w:sz w:val="18"/>
          <w:szCs w:val="18"/>
          <w:color w:val="auto"/>
        </w:rPr>
        <w:t>1350 Avenue of the Americas,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ind w:left="66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GCI Partners Opportunity Fund LP – Delaware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Niraj A. Gupta – United States of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$0.01 par value per share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86323X106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Rule 13d 1(b), or 13d-2(b) or (c), Check Whether the Person Filing is a:</w:t>
      </w:r>
    </w:p>
    <w:p>
      <w:pPr>
        <w:spacing w:after="0" w:line="200" w:lineRule="exact"/>
        <w:rPr>
          <w:sz w:val="20"/>
          <w:szCs w:val="20"/>
          <w:color w:val="auto"/>
        </w:rPr>
      </w:pPr>
    </w:p>
    <w:p>
      <w:pPr>
        <w:ind w:left="800" w:hanging="455"/>
        <w:spacing w:after="0" w:line="207" w:lineRule="exact"/>
        <w:tabs>
          <w:tab w:leader="none" w:pos="8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800" w:hanging="455"/>
        <w:spacing w:after="0" w:line="207" w:lineRule="exact"/>
        <w:tabs>
          <w:tab w:leader="none" w:pos="8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800" w:hanging="455"/>
        <w:spacing w:after="0" w:line="207" w:lineRule="exact"/>
        <w:tabs>
          <w:tab w:leader="none" w:pos="8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defined in Section 3(a)(19) of the Exchange Act.</w:t>
      </w:r>
    </w:p>
    <w:p>
      <w:pPr>
        <w:spacing w:after="0" w:line="225" w:lineRule="exact"/>
        <w:rPr>
          <w:rFonts w:ascii="Times New Roman" w:cs="Times New Roman" w:eastAsia="Times New Roman" w:hAnsi="Times New Roman"/>
          <w:sz w:val="18"/>
          <w:szCs w:val="18"/>
          <w:color w:val="auto"/>
        </w:rPr>
      </w:pPr>
    </w:p>
    <w:p>
      <w:pPr>
        <w:ind w:left="800" w:hanging="455"/>
        <w:spacing w:after="0" w:line="207" w:lineRule="exact"/>
        <w:tabs>
          <w:tab w:leader="none" w:pos="8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800" w:hanging="455"/>
        <w:spacing w:after="0" w:line="207" w:lineRule="exact"/>
        <w:tabs>
          <w:tab w:leader="none" w:pos="80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Rule 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Page 5 of 7</w:t>
      </w:r>
    </w:p>
    <w:p>
      <w:pPr>
        <w:spacing w:after="0" w:line="213" w:lineRule="exact"/>
        <w:rPr>
          <w:sz w:val="20"/>
          <w:szCs w:val="20"/>
          <w:color w:val="auto"/>
        </w:rPr>
      </w:pPr>
    </w:p>
    <w:p>
      <w:pPr>
        <w:ind w:left="800" w:hanging="455"/>
        <w:spacing w:after="0" w:line="207" w:lineRule="exact"/>
        <w:tabs>
          <w:tab w:leader="none" w:pos="80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800" w:hanging="455"/>
        <w:spacing w:after="0" w:line="207" w:lineRule="exact"/>
        <w:tabs>
          <w:tab w:leader="none" w:pos="80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800" w:hanging="455"/>
        <w:spacing w:after="0" w:line="207" w:lineRule="exact"/>
        <w:tabs>
          <w:tab w:leader="none" w:pos="80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800" w:hanging="455"/>
        <w:spacing w:after="0" w:line="207" w:lineRule="exact"/>
        <w:tabs>
          <w:tab w:leader="none" w:pos="80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800" w:hanging="455"/>
        <w:spacing w:after="0" w:line="207" w:lineRule="exact"/>
        <w:tabs>
          <w:tab w:leader="none" w:pos="800"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Section 240.13d-1(b)(1)(ii)(J).</w:t>
      </w:r>
    </w:p>
    <w:p>
      <w:pPr>
        <w:spacing w:after="0" w:line="225" w:lineRule="exact"/>
        <w:rPr>
          <w:rFonts w:ascii="Times New Roman" w:cs="Times New Roman" w:eastAsia="Times New Roman" w:hAnsi="Times New Roman"/>
          <w:sz w:val="18"/>
          <w:szCs w:val="18"/>
          <w:color w:val="auto"/>
        </w:rPr>
      </w:pPr>
    </w:p>
    <w:p>
      <w:pPr>
        <w:ind w:left="1140" w:hanging="795"/>
        <w:spacing w:after="0" w:line="239" w:lineRule="exact"/>
        <w:tabs>
          <w:tab w:leader="none" w:pos="802" w:val="left"/>
        </w:tabs>
        <w:numPr>
          <w:ilvl w:val="0"/>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 240.13d-1(b)(1)(ii)(J), please specify the type of institution: ____</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this statement is filed pursuant to Rule 13d-1(c), check this box [x]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300" w:right="65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GCI Partners Opportunity Fund LP – 2,194,716 Niraj A. Gupta – 641,098</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of the 47,600,634 shares of Common Stock outstanding as of December 08, 2021 as reported in the Issuer’s Form 10-Q Quarterly Report filed on December 15, 2021.</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jc w:val="both"/>
        <w:ind w:left="1960" w:right="6420" w:hanging="656"/>
        <w:spacing w:after="0" w:line="500"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GCI Partners Opportunity Fund LP – 0 Niraj A. Gupta – 641,098</w:t>
      </w:r>
    </w:p>
    <w:p>
      <w:pPr>
        <w:spacing w:after="0" w:line="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960" w:right="58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GCI Partners Opportunity Fund LP - 2,194,716 Niraj A. Gupta – 2,194,716</w:t>
      </w:r>
    </w:p>
    <w:p>
      <w:pPr>
        <w:spacing w:after="0" w:line="1" w:lineRule="exact"/>
        <w:rPr>
          <w:rFonts w:ascii="Times New Roman" w:cs="Times New Roman" w:eastAsia="Times New Roman" w:hAnsi="Times New Roman"/>
          <w:sz w:val="18"/>
          <w:szCs w:val="18"/>
          <w:color w:val="auto"/>
        </w:rPr>
      </w:pPr>
    </w:p>
    <w:p>
      <w:pPr>
        <w:ind w:left="1960" w:right="5520" w:hanging="656"/>
        <w:spacing w:after="0" w:line="500"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GCI Partners Opportunity Fund LP – 0</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Niraj A. Gupta – 641,098</w:t>
      </w:r>
    </w:p>
    <w:p>
      <w:pPr>
        <w:spacing w:after="0" w:line="225" w:lineRule="exact"/>
        <w:rPr>
          <w:rFonts w:ascii="Times New Roman" w:cs="Times New Roman" w:eastAsia="Times New Roman" w:hAnsi="Times New Roman"/>
          <w:sz w:val="18"/>
          <w:szCs w:val="18"/>
          <w:color w:val="auto"/>
        </w:rPr>
      </w:pPr>
    </w:p>
    <w:p>
      <w:pPr>
        <w:ind w:left="1960" w:right="5400" w:hanging="656"/>
        <w:spacing w:after="0" w:line="516"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GCI Partners Opportunity Fund LP – 2,194,716 Niraj A. Gupta – 2,194,716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Page 6 of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 more than five percent of the class of securities, check the following: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7 of 7</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center"/>
        <w:ind w:left="340" w:right="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GCI Partners Opportunity Fund,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2022</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GCI Partners Opportunity Fund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ectPr>
          <w:pgSz w:w="11900" w:h="16838" w:orient="portrait"/>
          <w:cols w:equalWidth="0" w:num="2">
            <w:col w:w="260" w:space="320"/>
            <w:col w:w="1066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GCI Partners GP, LLC, General Partner,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GCI Partners Opportunity Fund LP</w:t>
      </w:r>
    </w:p>
    <w:p>
      <w:pPr>
        <w:spacing w:after="0" w:line="200" w:lineRule="exact"/>
        <w:rPr>
          <w:sz w:val="20"/>
          <w:szCs w:val="20"/>
          <w:color w:val="auto"/>
        </w:rPr>
      </w:pPr>
    </w:p>
    <w:p>
      <w:pPr>
        <w:sectPr>
          <w:pgSz w:w="11900" w:h="16838" w:orient="portrait"/>
          <w:cols w:equalWidth="0" w:num="2">
            <w:col w:w="260" w:space="320"/>
            <w:col w:w="1066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Niraj A. Gupta</w:t>
      </w:r>
    </w:p>
    <w:p>
      <w:pPr>
        <w:spacing w:after="0" w:line="48" w:lineRule="exact"/>
        <w:rPr>
          <w:sz w:val="20"/>
          <w:szCs w:val="20"/>
          <w:color w:val="auto"/>
        </w:rPr>
      </w:pPr>
    </w:p>
    <w:p>
      <w:pPr>
        <w:sectPr>
          <w:pgSz w:w="11900" w:h="16838" w:orient="portrait"/>
          <w:cols w:equalWidth="0" w:num="2">
            <w:col w:w="260" w:space="320"/>
            <w:col w:w="106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Name: Niraj 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Title:</w:t>
        <w:tab/>
        <w:t>Managing Member of GCI Partners GP, LLC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NIRAJ A. GUPTA*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2022</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Niraj 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lvl w:ilvl="1">
      <w:lvlJc w:val="left"/>
      <w:lvlText w:val="(%2)"/>
      <w:numFmt w:val="lowerLetter"/>
      <w:start w:val="1"/>
    </w:lvl>
  </w:abstractNum>
  <w:abstractNum w:abstractNumId="3">
    <w:nsid w:val="7545E146"/>
    <w:multiLevelType w:val="hybridMultilevel"/>
    <w:lvl w:ilvl="0">
      <w:lvlJc w:val="left"/>
      <w:lvlText w:val="%1."/>
      <w:numFmt w:val="decimal"/>
      <w:start w:val="5"/>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lvl w:ilvl="1">
      <w:lvlJc w:val="left"/>
      <w:lvlText w:val="(%2)"/>
      <w:numFmt w:val="lowerLetter"/>
      <w:start w:val="1"/>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6"/>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2022-04-14T08:31:39Z</dcterms:created>
  <dcterms:modified xsi:type="dcterms:W3CDTF">2022-04-14T08:31:39Z</dcterms:modified>
</cp:coreProperties>
</file>