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 A</w:t>
      </w:r>
    </w:p>
    <w:p>
      <w:pPr>
        <w:spacing w:after="0" w:line="207" w:lineRule="exact"/>
        <w:rPr>
          <w:sz w:val="24"/>
          <w:szCs w:val="24"/>
          <w:color w:val="auto"/>
        </w:rPr>
      </w:pPr>
    </w:p>
    <w:p>
      <w:pPr>
        <w:ind w:left="860" w:right="2419" w:hanging="852"/>
        <w:spacing w:after="0" w:line="235" w:lineRule="auto"/>
        <w:tabs>
          <w:tab w:leader="none" w:pos="22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QUARTERLY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April 30, 2003</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860" w:right="2319" w:hanging="852"/>
        <w:spacing w:after="0" w:line="235" w:lineRule="auto"/>
        <w:tabs>
          <w:tab w:leader="none" w:pos="43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from ______________ to ______________</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0-28132</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LANVISION SYSTEMS,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47" w:right="1440" w:bottom="144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31-1455414</w:t>
      </w:r>
    </w:p>
    <w:p>
      <w:pPr>
        <w:ind w:left="1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600" w:space="720"/>
            <w:col w:w="3899"/>
          </w:cols>
          <w:pgMar w:left="240" w:top="447" w:right="1440" w:bottom="1440"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5481 Creek Road</w:t>
      </w:r>
    </w:p>
    <w:p>
      <w:pPr>
        <w:spacing w:after="0" w:line="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6"/>
          <w:szCs w:val="16"/>
          <w:color w:val="auto"/>
        </w:rPr>
        <w:t>Cincinnati, Ohio 45242-4001</w:t>
      </w:r>
    </w:p>
    <w:p>
      <w:pPr>
        <w:sectPr>
          <w:pgSz w:w="11900" w:h="16838" w:orient="portrait"/>
          <w:cols w:equalWidth="0" w:num="1">
            <w:col w:w="10219"/>
          </w:cols>
          <w:pgMar w:left="240" w:top="447" w:right="1440" w:bottom="1440" w:gutter="0" w:footer="0" w:header="0"/>
          <w:type w:val="continuous"/>
        </w:sectPr>
      </w:pPr>
    </w:p>
    <w:p>
      <w:pPr>
        <w:spacing w:after="0" w:line="1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(513) 794-7100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ind w:left="960"/>
              <w:spacing w:after="0"/>
              <w:rPr>
                <w:sz w:val="20"/>
                <w:szCs w:val="20"/>
                <w:color w:val="auto"/>
              </w:rPr>
            </w:pPr>
            <w:r>
              <w:rPr>
                <w:rFonts w:ascii="Courier New" w:cs="Courier New" w:eastAsia="Courier New" w:hAnsi="Courier New"/>
                <w:sz w:val="18"/>
                <w:szCs w:val="18"/>
                <w:color w:val="auto"/>
                <w:w w:val="98"/>
              </w:rPr>
              <w:t>Indicate by check mark</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whether the</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registrant</w:t>
            </w:r>
          </w:p>
        </w:tc>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w w:val="97"/>
              </w:rPr>
              <w:t>(1) has filed all reports</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required to be filed by Section</w:t>
            </w:r>
          </w:p>
        </w:tc>
        <w:tc>
          <w:tcPr>
            <w:tcW w:w="1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 or 15(d)</w:t>
            </w:r>
          </w:p>
        </w:tc>
        <w:tc>
          <w:tcPr>
            <w:tcW w:w="38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of the Securities Exchange Act of</w:t>
            </w:r>
          </w:p>
        </w:tc>
      </w:tr>
      <w:tr>
        <w:trPr>
          <w:trHeight w:val="203"/>
        </w:trPr>
        <w:tc>
          <w:tcPr>
            <w:tcW w:w="4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1934 during the preceding 12 months (or for</w:t>
            </w:r>
          </w:p>
        </w:tc>
        <w:tc>
          <w:tcPr>
            <w:tcW w:w="38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such shorter period that the</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registrant was required to file</w:t>
            </w:r>
          </w:p>
        </w:tc>
        <w:tc>
          <w:tcPr>
            <w:tcW w:w="248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such reports), and (2)</w:t>
            </w:r>
          </w:p>
        </w:tc>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has been subject to such</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filing requirements for the past 90 days. Yes  X</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w:t>
            </w: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spacing w:after="0"/>
              <w:rPr>
                <w:sz w:val="17"/>
                <w:szCs w:val="17"/>
                <w:color w:val="auto"/>
              </w:rPr>
            </w:pPr>
          </w:p>
        </w:tc>
      </w:tr>
      <w:tr>
        <w:trPr>
          <w:trHeight w:val="405"/>
        </w:trPr>
        <w:tc>
          <w:tcPr>
            <w:tcW w:w="3320" w:type="dxa"/>
            <w:vAlign w:val="bottom"/>
          </w:tcPr>
          <w:p>
            <w:pPr>
              <w:ind w:left="960"/>
              <w:spacing w:after="0"/>
              <w:rPr>
                <w:sz w:val="20"/>
                <w:szCs w:val="20"/>
                <w:color w:val="auto"/>
              </w:rPr>
            </w:pPr>
            <w:r>
              <w:rPr>
                <w:rFonts w:ascii="Courier New" w:cs="Courier New" w:eastAsia="Courier New" w:hAnsi="Courier New"/>
                <w:sz w:val="18"/>
                <w:szCs w:val="18"/>
                <w:color w:val="auto"/>
                <w:w w:val="98"/>
              </w:rPr>
              <w:t>Indicate by check mark</w:t>
            </w:r>
          </w:p>
        </w:tc>
        <w:tc>
          <w:tcPr>
            <w:tcW w:w="1280" w:type="dxa"/>
            <w:vAlign w:val="bottom"/>
          </w:tcPr>
          <w:p>
            <w:pPr>
              <w:ind w:left="60"/>
              <w:spacing w:after="0"/>
              <w:rPr>
                <w:sz w:val="20"/>
                <w:szCs w:val="20"/>
                <w:color w:val="auto"/>
              </w:rPr>
            </w:pPr>
            <w:r>
              <w:rPr>
                <w:rFonts w:ascii="Courier New" w:cs="Courier New" w:eastAsia="Courier New" w:hAnsi="Courier New"/>
                <w:sz w:val="18"/>
                <w:szCs w:val="18"/>
                <w:color w:val="auto"/>
              </w:rPr>
              <w:t>whether the</w:t>
            </w:r>
          </w:p>
        </w:tc>
        <w:tc>
          <w:tcPr>
            <w:tcW w:w="12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registrant</w:t>
            </w:r>
          </w:p>
        </w:tc>
        <w:tc>
          <w:tcPr>
            <w:tcW w:w="520" w:type="dxa"/>
            <w:vAlign w:val="bottom"/>
          </w:tcPr>
          <w:p>
            <w:pPr>
              <w:spacing w:after="0"/>
              <w:rPr>
                <w:sz w:val="20"/>
                <w:szCs w:val="20"/>
                <w:color w:val="auto"/>
              </w:rPr>
            </w:pPr>
            <w:r>
              <w:rPr>
                <w:rFonts w:ascii="Courier New" w:cs="Courier New" w:eastAsia="Courier New" w:hAnsi="Courier New"/>
                <w:sz w:val="18"/>
                <w:szCs w:val="18"/>
                <w:color w:val="auto"/>
                <w:w w:val="92"/>
              </w:rPr>
              <w:t>is an</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accelerated filer</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(as defined in Rule 12b-2 of the Exchange Act). Yes</w:t>
            </w:r>
          </w:p>
        </w:tc>
        <w:tc>
          <w:tcPr>
            <w:tcW w:w="360" w:type="dxa"/>
            <w:vAlign w:val="bottom"/>
          </w:tcPr>
          <w:p>
            <w:pPr>
              <w:spacing w:after="0"/>
              <w:rPr>
                <w:sz w:val="17"/>
                <w:szCs w:val="17"/>
                <w:color w:val="auto"/>
              </w:rPr>
            </w:pPr>
          </w:p>
        </w:tc>
        <w:tc>
          <w:tcPr>
            <w:tcW w:w="5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X</w:t>
            </w:r>
          </w:p>
        </w:tc>
      </w:tr>
      <w:tr>
        <w:trPr>
          <w:trHeight w:val="203"/>
        </w:trPr>
        <w:tc>
          <w:tcPr>
            <w:tcW w:w="3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212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80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Number of shares of Registrant's Common Stock</w:t>
            </w:r>
          </w:p>
        </w:tc>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($.01 par value per</w:t>
            </w:r>
          </w:p>
        </w:tc>
      </w:tr>
    </w:tbl>
    <w:p>
      <w:pPr>
        <w:spacing w:after="0" w:line="238" w:lineRule="auto"/>
        <w:rPr>
          <w:sz w:val="20"/>
          <w:szCs w:val="20"/>
          <w:color w:val="auto"/>
        </w:rPr>
      </w:pPr>
      <w:r>
        <w:rPr>
          <w:rFonts w:ascii="Courier New" w:cs="Courier New" w:eastAsia="Courier New" w:hAnsi="Courier New"/>
          <w:sz w:val="18"/>
          <w:szCs w:val="18"/>
          <w:color w:val="auto"/>
        </w:rPr>
        <w:t>share) issued and outstanding, as of April 30, 2003: 8,977,670.</w:t>
      </w:r>
    </w:p>
    <w:p>
      <w:pPr>
        <w:sectPr>
          <w:pgSz w:w="11900" w:h="16838" w:orient="portrait"/>
          <w:cols w:equalWidth="0" w:num="1">
            <w:col w:w="10219"/>
          </w:cols>
          <w:pgMar w:left="240" w:top="447" w:right="1440" w:bottom="1440" w:gutter="0" w:footer="0" w:header="0"/>
          <w:type w:val="continuous"/>
        </w:sectPr>
      </w:pPr>
    </w:p>
    <w:bookmarkStart w:id="1" w:name="page2"/>
    <w:bookmarkEnd w:id="1"/>
    <w:p>
      <w:pPr>
        <w:ind w:right="2319"/>
        <w:spacing w:after="0" w:line="235" w:lineRule="auto"/>
        <w:rPr>
          <w:sz w:val="20"/>
          <w:szCs w:val="20"/>
          <w:color w:val="auto"/>
        </w:rPr>
      </w:pPr>
      <w:r>
        <w:rPr>
          <w:rFonts w:ascii="Courier New" w:cs="Courier New" w:eastAsia="Courier New" w:hAnsi="Courier New"/>
          <w:sz w:val="18"/>
          <w:szCs w:val="18"/>
          <w:color w:val="auto"/>
        </w:rPr>
        <w:t>This Form 10-Q Amendment is being filed to include Part 1, Item 4 which was inadvertently omitted from the original filing.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LanVision maintains disclosure controls and procedures that are designed to ensure that information required to be disclosed in LanVision's Exchange Act reports is recorded, processed, summarized and reported within the time periods specified in the SEC's rules and forms, and that such information is accumulated and communicated to LanVision's management, including its Chief Executive Officer and Chief Financial Officer, as appropriate, to allow timely decisions regarding required disclosure based closely on the definition of "disclosure controls and procedures" in Rule 13a-15(e).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07"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As of the end of the period covered by this report, an evaluation was performed under the supervision and with the participation of LanVision's senior management, including the Chief Executive Officer and Chief Financial Officer, of the effectiveness of the design and operation of LanVision's disclosure controls and procedures. Based on that evaluation, LanVision's management, including the Chief Executive and Chief Financial Officer, concluded that LanVision's disclosure controls and procedures were effective as of the end of the period covered by this report. There have been no significant changes in LanVision's internal control or in the other controls that could significantly affect internal controls subsequent to the date LanVision completed its evaluation. Therefore, no corrective actions were taken.</w:t>
      </w:r>
    </w:p>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LANVISION SYSTEMS, INC.</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8"/>
          <w:szCs w:val="18"/>
          <w:color w:val="auto"/>
        </w:rPr>
        <w:t>September 12, 2003 ------------------------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BRIAN PATSY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 Brian Patsy</w:t>
      </w:r>
    </w:p>
    <w:p>
      <w:pPr>
        <w:spacing w:after="0" w:line="238" w:lineRule="auto"/>
        <w:rPr>
          <w:sz w:val="20"/>
          <w:szCs w:val="20"/>
          <w:color w:val="auto"/>
        </w:rPr>
      </w:pPr>
      <w:r>
        <w:rPr>
          <w:rFonts w:ascii="Courier New" w:cs="Courier New" w:eastAsia="Courier New" w:hAnsi="Courier New"/>
          <w:sz w:val="18"/>
          <w:szCs w:val="18"/>
          <w:color w:val="auto"/>
        </w:rPr>
        <w:t>Chief Executive Officer and</w:t>
      </w:r>
    </w:p>
    <w:p>
      <w:pPr>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4">
            <w:col w:w="540" w:space="200"/>
            <w:col w:w="2540" w:space="200"/>
            <w:col w:w="320" w:space="220"/>
            <w:col w:w="6199"/>
          </w:cols>
          <w:pgMar w:left="240" w:top="717"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jc w:val="center"/>
        <w:spacing w:after="0" w:line="235" w:lineRule="auto"/>
        <w:rPr>
          <w:sz w:val="20"/>
          <w:szCs w:val="20"/>
          <w:color w:val="auto"/>
        </w:rPr>
      </w:pPr>
      <w:r>
        <w:rPr>
          <w:rFonts w:ascii="Courier New" w:cs="Courier New" w:eastAsia="Courier New" w:hAnsi="Courier New"/>
          <w:sz w:val="18"/>
          <w:szCs w:val="18"/>
          <w:color w:val="auto"/>
        </w:rPr>
        <w:t>September 12, 2003 ------------------------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PAUL W. BRIDGE,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W. Bridge, Jr.</w:t>
      </w:r>
    </w:p>
    <w:p>
      <w:pPr>
        <w:spacing w:after="0" w:line="238" w:lineRule="auto"/>
        <w:rPr>
          <w:sz w:val="20"/>
          <w:szCs w:val="20"/>
          <w:color w:val="auto"/>
        </w:rPr>
      </w:pPr>
      <w:r>
        <w:rPr>
          <w:rFonts w:ascii="Courier New" w:cs="Courier New" w:eastAsia="Courier New" w:hAnsi="Courier New"/>
          <w:sz w:val="18"/>
          <w:szCs w:val="18"/>
          <w:color w:val="auto"/>
        </w:rPr>
        <w:t>Chief Financial Officer and Treasurer</w:t>
      </w:r>
    </w:p>
    <w:p>
      <w:pPr>
        <w:sectPr>
          <w:pgSz w:w="11900" w:h="16838" w:orient="portrait"/>
          <w:cols w:equalWidth="0" w:num="4">
            <w:col w:w="540" w:space="200"/>
            <w:col w:w="2540" w:space="200"/>
            <w:col w:w="320" w:space="220"/>
            <w:col w:w="6199"/>
          </w:cols>
          <w:pgMar w:left="240" w:top="717" w:right="1440" w:bottom="1440" w:gutter="0" w:footer="0" w:header="0"/>
          <w:type w:val="continuous"/>
        </w:sectPr>
      </w:pPr>
    </w:p>
    <w:bookmarkStart w:id="3" w:name="page4"/>
    <w:bookmarkEnd w:id="3"/>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LANVISION SYSTEMS,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 Brian Patsy, certify that:</w:t>
      </w:r>
    </w:p>
    <w:p>
      <w:pPr>
        <w:spacing w:after="0" w:line="207" w:lineRule="exact"/>
        <w:rPr>
          <w:sz w:val="20"/>
          <w:szCs w:val="20"/>
          <w:color w:val="auto"/>
        </w:rPr>
      </w:pPr>
    </w:p>
    <w:p>
      <w:pPr>
        <w:ind w:left="1060" w:right="2519" w:hanging="525"/>
        <w:spacing w:after="0" w:line="235"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LanVision Systems, Inc.;</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statements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that has materially affected, or is reasonable likely to materially affect, the registrant's internal control over financial reporting; and</w:t>
      </w:r>
    </w:p>
    <w:p>
      <w:pPr>
        <w:sectPr>
          <w:pgSz w:w="11900" w:h="16838" w:orient="portrait"/>
          <w:cols w:equalWidth="0" w:num="1">
            <w:col w:w="10219"/>
          </w:cols>
          <w:pgMar w:left="240" w:top="744" w:right="1440" w:bottom="1440" w:gutter="0" w:footer="0" w:header="0"/>
        </w:sectPr>
      </w:pPr>
    </w:p>
    <w:bookmarkStart w:id="4" w:name="page5"/>
    <w:bookmarkEnd w:id="4"/>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the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2120" w:right="1779" w:hanging="532"/>
        <w:spacing w:after="0" w:line="279" w:lineRule="auto"/>
        <w:tabs>
          <w:tab w:leader="none" w:pos="212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23" w:right="1440" w:bottom="144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2003</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 Brian Patsy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2">
            <w:col w:w="4660" w:space="720"/>
            <w:col w:w="4839"/>
          </w:cols>
          <w:pgMar w:left="240" w:top="723"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LANVISION SYSTEMS,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Paul W. Bridge, Jr., certify that:</w:t>
      </w:r>
    </w:p>
    <w:p>
      <w:pPr>
        <w:spacing w:after="0" w:line="207" w:lineRule="exact"/>
        <w:rPr>
          <w:sz w:val="20"/>
          <w:szCs w:val="20"/>
          <w:color w:val="auto"/>
        </w:rPr>
      </w:pPr>
    </w:p>
    <w:p>
      <w:pPr>
        <w:ind w:left="1060" w:right="25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LanVision Systems, Inc.;</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statements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we have:</w:t>
      </w:r>
    </w:p>
    <w:p>
      <w:pPr>
        <w:spacing w:after="0" w:line="207"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Courier New" w:cs="Courier New" w:eastAsia="Courier New" w:hAnsi="Courier New"/>
          <w:sz w:val="18"/>
          <w:szCs w:val="18"/>
          <w:color w:val="auto"/>
        </w:rPr>
      </w:pPr>
    </w:p>
    <w:p>
      <w:pPr>
        <w:ind w:left="2120" w:right="1779" w:hanging="532"/>
        <w:spacing w:after="0" w:line="237" w:lineRule="auto"/>
        <w:tabs>
          <w:tab w:leader="none" w:pos="2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that has materially affected, or is reasonable likely to materially affect, the registrant's internal control over financial reporting; and</w:t>
      </w:r>
    </w:p>
    <w:p>
      <w:pPr>
        <w:spacing w:after="0" w:line="209"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w:t>
      </w:r>
    </w:p>
    <w:p>
      <w:pPr>
        <w:sectPr>
          <w:pgSz w:w="11900" w:h="16838" w:orient="portrait"/>
          <w:cols w:equalWidth="0" w:num="1">
            <w:col w:w="10219"/>
          </w:cols>
          <w:pgMar w:left="240" w:top="744" w:right="1440" w:bottom="1440" w:gutter="0" w:footer="0" w:header="0"/>
        </w:sectPr>
      </w:pPr>
    </w:p>
    <w:bookmarkStart w:id="6" w:name="page7"/>
    <w:bookmarkEnd w:id="6"/>
    <w:p>
      <w:pPr>
        <w:ind w:left="1060" w:right="2739"/>
        <w:spacing w:after="0" w:line="236" w:lineRule="auto"/>
        <w:rPr>
          <w:sz w:val="20"/>
          <w:szCs w:val="20"/>
          <w:color w:val="auto"/>
        </w:rPr>
      </w:pPr>
      <w:r>
        <w:rPr>
          <w:rFonts w:ascii="Courier New" w:cs="Courier New" w:eastAsia="Courier New" w:hAnsi="Courier New"/>
          <w:sz w:val="18"/>
          <w:szCs w:val="18"/>
          <w:color w:val="auto"/>
        </w:rPr>
        <w:t>recent evaluation, to the registrant's auditors and the audit committee of the registrant's board of directors (or persons performing the equivalent functions):</w:t>
      </w:r>
    </w:p>
    <w:p>
      <w:pPr>
        <w:spacing w:after="0" w:line="209" w:lineRule="exact"/>
        <w:rPr>
          <w:sz w:val="20"/>
          <w:szCs w:val="20"/>
          <w:color w:val="auto"/>
        </w:rPr>
      </w:pPr>
    </w:p>
    <w:p>
      <w:pPr>
        <w:ind w:left="2120" w:right="1879" w:hanging="532"/>
        <w:spacing w:after="0" w:line="237"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reasonable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2120" w:right="1779" w:hanging="532"/>
        <w:spacing w:after="0" w:line="279" w:lineRule="auto"/>
        <w:tabs>
          <w:tab w:leader="none" w:pos="21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19"/>
          </w:cols>
          <w:pgMar w:left="240" w:top="723" w:right="1440" w:bottom="144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12, 2003</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W. Bridge, Jr.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Treasurer</w:t>
      </w:r>
    </w:p>
    <w:sectPr>
      <w:pgSz w:w="11900" w:h="16838" w:orient="portrait"/>
      <w:cols w:equalWidth="0" w:num="2">
        <w:col w:w="4660" w:space="720"/>
        <w:col w:w="483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lvl w:ilvl="1">
      <w:lvlJc w:val="left"/>
      <w:lvlText w:val="%2)"/>
      <w:numFmt w:val="lowerLetter"/>
      <w:start w:val="1"/>
    </w:lvl>
  </w:abstractNum>
  <w:abstractNum w:abstractNumId="3">
    <w:nsid w:val="46E87CCD"/>
    <w:multiLevelType w:val="hybridMultilevel"/>
    <w:lvl w:ilvl="0">
      <w:lvlJc w:val="left"/>
      <w:lvlText w:val="%1."/>
      <w:numFmt w:val="decimal"/>
      <w:start w:val="5"/>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2019-12-14T06:50:42Z</dcterms:created>
  <dcterms:modified xsi:type="dcterms:W3CDTF">2019-12-14T06:50:42Z</dcterms:modified>
</cp:coreProperties>
</file>