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530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30479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Ferayorni Justin John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STREAMLINE HEALTH SOLUTIONS</w:t>
              </w:r>
            </w:hyperlink>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3360" w:type="dxa"/>
            <w:vAlign w:val="bottom"/>
            <w:tcBorders>
              <w:top w:val="single" w:sz="8" w:color="0000EE"/>
            </w:tcBorders>
            <w:gridSpan w:val="2"/>
            <w:vMerge w:val="restart"/>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STRM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40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vMerge w:val="continue"/>
          </w:tcPr>
          <w:p>
            <w:pPr>
              <w:spacing w:after="0"/>
              <w:rPr>
                <w:sz w:val="11"/>
                <w:szCs w:val="11"/>
                <w:color w:val="auto"/>
              </w:rPr>
            </w:pPr>
          </w:p>
        </w:tc>
        <w:tc>
          <w:tcPr>
            <w:tcW w:w="3360" w:type="dxa"/>
            <w:vAlign w:val="bottom"/>
            <w:tcBorders>
              <w:top w:val="single" w:sz="8" w:color="0000EE"/>
            </w:tcBorders>
            <w:gridSpan w:val="2"/>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980" w:type="dxa"/>
            <w:vAlign w:val="bottom"/>
            <w:tcBorders>
              <w:bottom w:val="single" w:sz="8" w:color="9A9A9A"/>
            </w:tcBorders>
          </w:tcPr>
          <w:p>
            <w:pPr>
              <w:spacing w:after="0" w:line="20" w:lineRule="exact"/>
              <w:rPr>
                <w:sz w:val="1"/>
                <w:szCs w:val="1"/>
                <w:color w:val="auto"/>
              </w:rPr>
            </w:pPr>
          </w:p>
        </w:tc>
        <w:tc>
          <w:tcPr>
            <w:tcW w:w="800" w:type="dxa"/>
            <w:vAlign w:val="bottom"/>
            <w:tcBorders>
              <w:bottom w:val="single" w:sz="8" w:color="9A9A9A"/>
            </w:tcBorders>
          </w:tcPr>
          <w:p>
            <w:pPr>
              <w:spacing w:after="0" w:line="20" w:lineRule="exact"/>
              <w:rPr>
                <w:sz w:val="1"/>
                <w:szCs w:val="1"/>
                <w:color w:val="auto"/>
              </w:rPr>
            </w:pPr>
          </w:p>
        </w:tc>
        <w:tc>
          <w:tcPr>
            <w:tcW w:w="660" w:type="dxa"/>
            <w:vAlign w:val="bottom"/>
            <w:tcBorders>
              <w:bottom w:val="single" w:sz="8" w:color="9A9A9A"/>
            </w:tcBorders>
          </w:tcPr>
          <w:p>
            <w:pPr>
              <w:spacing w:after="0" w:line="20" w:lineRule="exact"/>
              <w:rPr>
                <w:sz w:val="1"/>
                <w:szCs w:val="1"/>
                <w:color w:val="auto"/>
              </w:rPr>
            </w:pPr>
          </w:p>
        </w:tc>
        <w:tc>
          <w:tcPr>
            <w:tcW w:w="1180" w:type="dxa"/>
            <w:vAlign w:val="bottom"/>
            <w:tcBorders>
              <w:bottom w:val="single" w:sz="8" w:color="9A9A9A"/>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8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2960" w:type="dxa"/>
            <w:vAlign w:val="bottom"/>
            <w:tcBorders>
              <w:bottom w:val="single" w:sz="8" w:color="2C2C2C"/>
            </w:tcBorders>
          </w:tcPr>
          <w:p>
            <w:pPr>
              <w:spacing w:after="0"/>
              <w:rPr>
                <w:sz w:val="16"/>
                <w:szCs w:val="16"/>
                <w:color w:val="auto"/>
              </w:rPr>
            </w:pPr>
          </w:p>
        </w:tc>
        <w:tc>
          <w:tcPr>
            <w:tcW w:w="40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60" w:type="dxa"/>
            <w:vAlign w:val="bottom"/>
            <w:gridSpan w:val="2"/>
            <w:vMerge w:val="continue"/>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3820" w:type="dxa"/>
            <w:vAlign w:val="bottom"/>
            <w:gridSpan w:val="4"/>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2400 OLD MILTON PARKWAY</w:t>
            </w: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460" w:type="dxa"/>
            <w:vAlign w:val="bottom"/>
            <w:gridSpan w:val="4"/>
            <w:vMerge w:val="continue"/>
          </w:tcPr>
          <w:p>
            <w:pPr>
              <w:spacing w:after="0"/>
              <w:rPr>
                <w:sz w:val="17"/>
                <w:szCs w:val="17"/>
                <w:color w:val="auto"/>
              </w:rPr>
            </w:pPr>
          </w:p>
        </w:tc>
        <w:tc>
          <w:tcPr>
            <w:tcW w:w="4700" w:type="dxa"/>
            <w:vAlign w:val="bottom"/>
            <w:gridSpan w:val="5"/>
          </w:tcPr>
          <w:p>
            <w:pPr>
              <w:ind w:left="1340"/>
              <w:spacing w:after="0"/>
              <w:rPr>
                <w:sz w:val="20"/>
                <w:szCs w:val="20"/>
                <w:color w:val="auto"/>
              </w:rPr>
            </w:pPr>
            <w:r>
              <w:rPr>
                <w:rFonts w:ascii="Times New Roman" w:cs="Times New Roman" w:eastAsia="Times New Roman" w:hAnsi="Times New Roman"/>
                <w:sz w:val="17"/>
                <w:szCs w:val="17"/>
                <w:color w:val="0000FF"/>
              </w:rPr>
              <w:t>08/12/2025</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BOX 1353</w:t>
            </w: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6"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20" w:type="dxa"/>
            <w:vAlign w:val="bottom"/>
          </w:tcPr>
          <w:p>
            <w:pPr>
              <w:spacing w:after="0"/>
              <w:rPr>
                <w:sz w:val="12"/>
                <w:szCs w:val="12"/>
                <w:color w:val="auto"/>
              </w:rPr>
            </w:pPr>
          </w:p>
        </w:tc>
        <w:tc>
          <w:tcPr>
            <w:tcW w:w="3580" w:type="dxa"/>
            <w:vAlign w:val="bottom"/>
            <w:gridSpan w:val="7"/>
          </w:tcPr>
          <w:p>
            <w:pPr>
              <w:jc w:val="center"/>
              <w:ind w:right="159"/>
              <w:spacing w:after="0" w:line="124"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1"/>
          </w:tcPr>
          <w:p>
            <w:pPr>
              <w:ind w:left="280"/>
              <w:spacing w:after="0" w:line="12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40" w:type="dxa"/>
            <w:vAlign w:val="bottom"/>
          </w:tcPr>
          <w:p>
            <w:pPr>
              <w:spacing w:after="0"/>
              <w:rPr>
                <w:sz w:val="13"/>
                <w:szCs w:val="13"/>
                <w:color w:val="auto"/>
              </w:rPr>
            </w:pPr>
          </w:p>
        </w:tc>
        <w:tc>
          <w:tcPr>
            <w:tcW w:w="2300" w:type="dxa"/>
            <w:vAlign w:val="bottom"/>
            <w:gridSpan w:val="5"/>
            <w:vMerge w:val="restart"/>
          </w:tcPr>
          <w:p>
            <w:pPr>
              <w:ind w:left="20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ALPHARETTA  GA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30009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020" w:type="dxa"/>
            <w:vAlign w:val="bottom"/>
            <w:gridSpan w:val="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vMerge w:val="restart"/>
          </w:tcPr>
          <w:p>
            <w:pPr>
              <w:spacing w:after="0"/>
              <w:rPr>
                <w:sz w:val="7"/>
                <w:szCs w:val="7"/>
                <w:color w:val="auto"/>
              </w:rPr>
            </w:pPr>
          </w:p>
        </w:tc>
        <w:tc>
          <w:tcPr>
            <w:tcW w:w="6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80" w:type="dxa"/>
            <w:vAlign w:val="bottom"/>
          </w:tcPr>
          <w:p>
            <w:pPr>
              <w:spacing w:after="0"/>
              <w:rPr>
                <w:sz w:val="5"/>
                <w:szCs w:val="5"/>
                <w:color w:val="auto"/>
              </w:rPr>
            </w:pPr>
          </w:p>
        </w:tc>
        <w:tc>
          <w:tcPr>
            <w:tcW w:w="1340" w:type="dxa"/>
            <w:vAlign w:val="bottom"/>
            <w:gridSpan w:val="2"/>
            <w:vMerge w:val="restart"/>
          </w:tcPr>
          <w:p>
            <w:pPr>
              <w:jc w:val="right"/>
              <w:ind w:right="735"/>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5"/>
          </w:tcPr>
          <w:p>
            <w:pPr>
              <w:jc w:val="right"/>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4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4"/>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6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08/12/2025</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8"/>
              </w:rPr>
              <w:t>78,416</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60" w:type="dxa"/>
            <w:vAlign w:val="bottom"/>
            <w:gridSpan w:val="4"/>
            <w:vMerge w:val="restart"/>
          </w:tcPr>
          <w:p>
            <w:pPr>
              <w:ind w:left="840"/>
              <w:spacing w:after="0"/>
              <w:rPr>
                <w:sz w:val="20"/>
                <w:szCs w:val="20"/>
                <w:color w:val="auto"/>
              </w:rPr>
            </w:pPr>
            <w:r>
              <w:rPr>
                <w:rFonts w:ascii="Times New Roman" w:cs="Times New Roman" w:eastAsia="Times New Roman" w:hAnsi="Times New Roman"/>
                <w:sz w:val="17"/>
                <w:szCs w:val="17"/>
                <w:color w:val="0000FF"/>
              </w:rPr>
              <w:t>08/12/2025</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92,294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1"/>
                <w:szCs w:val="21"/>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w:t>
            </w: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Refer to</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gridSpan w:val="5"/>
            <w:vMerge w:val="continue"/>
          </w:tcPr>
          <w:p>
            <w:pPr>
              <w:spacing w:after="0"/>
              <w:rPr>
                <w:sz w:val="9"/>
                <w:szCs w:val="9"/>
                <w:color w:val="auto"/>
              </w:rPr>
            </w:pPr>
          </w:p>
        </w:tc>
        <w:tc>
          <w:tcPr>
            <w:tcW w:w="1760" w:type="dxa"/>
            <w:vAlign w:val="bottom"/>
            <w:gridSpan w:val="4"/>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4"/>
          </w:tcPr>
          <w:p>
            <w:pPr>
              <w:jc w:val="center"/>
              <w:ind w:right="8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2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28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w w:val="96"/>
              </w:rPr>
              <w:t>Direct (D)</w:t>
            </w:r>
          </w:p>
        </w:tc>
        <w:tc>
          <w:tcPr>
            <w:tcW w:w="160" w:type="dxa"/>
            <w:vAlign w:val="bottom"/>
          </w:tcPr>
          <w:p>
            <w:pPr>
              <w:spacing w:after="0"/>
              <w:rPr>
                <w:sz w:val="11"/>
                <w:szCs w:val="11"/>
                <w:color w:val="auto"/>
              </w:rPr>
            </w:pP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280" w:type="dxa"/>
            <w:vAlign w:val="bottom"/>
          </w:tcPr>
          <w:p>
            <w:pPr>
              <w:spacing w:after="0"/>
              <w:rPr>
                <w:sz w:val="11"/>
                <w:szCs w:val="11"/>
                <w:color w:val="auto"/>
              </w:rPr>
            </w:pPr>
          </w:p>
        </w:tc>
        <w:tc>
          <w:tcPr>
            <w:tcW w:w="80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3"/>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Refer to</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1"/>
                <w:szCs w:val="11"/>
                <w:color w:val="008000"/>
                <w:w w:val="77"/>
              </w:rPr>
              <w:t>(3)</w:t>
            </w: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w w:val="77"/>
              </w:rPr>
              <w:t>(1)</w:t>
            </w: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10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29,914</w:t>
            </w:r>
          </w:p>
        </w:tc>
        <w:tc>
          <w:tcPr>
            <w:tcW w:w="60" w:type="dxa"/>
            <w:vAlign w:val="bottom"/>
          </w:tcPr>
          <w:p>
            <w:pPr>
              <w:spacing w:after="0"/>
              <w:rPr>
                <w:sz w:val="5"/>
                <w:szCs w:val="5"/>
                <w:color w:val="auto"/>
              </w:rPr>
            </w:pPr>
          </w:p>
        </w:tc>
        <w:tc>
          <w:tcPr>
            <w:tcW w:w="6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480" w:type="dxa"/>
            <w:vAlign w:val="bottom"/>
            <w:vMerge w:val="restart"/>
          </w:tcPr>
          <w:p>
            <w:pPr>
              <w:ind w:left="200"/>
              <w:spacing w:after="0" w:line="129" w:lineRule="exact"/>
              <w:rPr>
                <w:sz w:val="20"/>
                <w:szCs w:val="20"/>
                <w:color w:val="auto"/>
              </w:rPr>
            </w:pPr>
            <w:r>
              <w:rPr>
                <w:rFonts w:ascii="Arial" w:cs="Arial" w:eastAsia="Arial" w:hAnsi="Arial"/>
                <w:sz w:val="12"/>
                <w:szCs w:val="12"/>
                <w:color w:val="auto"/>
                <w:w w:val="93"/>
              </w:rPr>
              <w:t>$</w:t>
            </w:r>
            <w:r>
              <w:rPr>
                <w:rFonts w:ascii="Times New Roman" w:cs="Times New Roman" w:eastAsia="Times New Roman" w:hAnsi="Times New Roman"/>
                <w:sz w:val="12"/>
                <w:szCs w:val="12"/>
                <w:color w:val="0000FF"/>
                <w:w w:val="93"/>
              </w:rPr>
              <w:t>5.85</w:t>
            </w:r>
          </w:p>
        </w:tc>
        <w:tc>
          <w:tcPr>
            <w:tcW w:w="300" w:type="dxa"/>
            <w:vAlign w:val="bottom"/>
            <w:vMerge w:val="continue"/>
          </w:tcPr>
          <w:p>
            <w:pPr>
              <w:spacing w:after="0"/>
              <w:rPr>
                <w:sz w:val="5"/>
                <w:szCs w:val="5"/>
                <w:color w:val="auto"/>
              </w:rPr>
            </w:pPr>
          </w:p>
        </w:tc>
        <w:tc>
          <w:tcPr>
            <w:tcW w:w="104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08/12/2025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restart"/>
          </w:tcPr>
          <w:p>
            <w:pPr>
              <w:ind w:left="20"/>
              <w:spacing w:after="0" w:line="129" w:lineRule="exact"/>
              <w:rPr>
                <w:sz w:val="20"/>
                <w:szCs w:val="20"/>
                <w:color w:val="auto"/>
              </w:rPr>
            </w:pPr>
            <w:r>
              <w:rPr>
                <w:rFonts w:ascii="Times New Roman" w:cs="Times New Roman" w:eastAsia="Times New Roman" w:hAnsi="Times New Roman"/>
                <w:sz w:val="13"/>
                <w:szCs w:val="13"/>
                <w:color w:val="0000FF"/>
                <w:w w:val="84"/>
              </w:rPr>
              <w:t>D</w:t>
            </w: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29,914</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5"/>
                <w:szCs w:val="5"/>
                <w:color w:val="auto"/>
              </w:rPr>
            </w:pPr>
          </w:p>
        </w:tc>
        <w:tc>
          <w:tcPr>
            <w:tcW w:w="6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16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tcPr>
          <w:p>
            <w:pPr>
              <w:ind w:left="20"/>
              <w:spacing w:after="0" w:line="65" w:lineRule="exact"/>
              <w:rPr>
                <w:sz w:val="20"/>
                <w:szCs w:val="20"/>
                <w:color w:val="auto"/>
              </w:rPr>
            </w:pPr>
            <w:r>
              <w:rPr>
                <w:rFonts w:ascii="Times New Roman" w:cs="Times New Roman" w:eastAsia="Times New Roman" w:hAnsi="Times New Roman"/>
                <w:sz w:val="6"/>
                <w:szCs w:val="6"/>
                <w:color w:val="0000FF"/>
              </w:rPr>
              <w:t>$0.01 par</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gridSpan w:val="3"/>
          </w:tcPr>
          <w:p>
            <w:pPr>
              <w:ind w:left="40"/>
              <w:spacing w:after="0" w:line="65" w:lineRule="exact"/>
              <w:rPr>
                <w:sz w:val="20"/>
                <w:szCs w:val="20"/>
                <w:color w:val="auto"/>
              </w:rPr>
            </w:pPr>
            <w:r>
              <w:rPr>
                <w:rFonts w:ascii="Times New Roman" w:cs="Times New Roman" w:eastAsia="Times New Roman" w:hAnsi="Times New Roman"/>
                <w:sz w:val="6"/>
                <w:szCs w:val="6"/>
                <w:color w:val="0000FF"/>
              </w:rPr>
              <w:t>footnote</w:t>
            </w:r>
            <w:r>
              <w:rPr>
                <w:rFonts w:ascii="Times New Roman" w:cs="Times New Roman" w:eastAsia="Times New Roman" w:hAnsi="Times New Roman"/>
                <w:sz w:val="7"/>
                <w:szCs w:val="7"/>
                <w:color w:val="008000"/>
                <w:vertAlign w:val="superscript"/>
              </w:rPr>
              <w:t>(5)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8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3540" w:type="dxa"/>
            <w:vAlign w:val="bottom"/>
          </w:tcPr>
          <w:p>
            <w:pPr>
              <w:spacing w:after="0"/>
              <w:rPr>
                <w:sz w:val="20"/>
                <w:szCs w:val="20"/>
                <w:color w:val="auto"/>
              </w:rPr>
            </w:pPr>
            <w:r>
              <w:rPr>
                <w:rFonts w:ascii="Times New Roman" w:cs="Times New Roman" w:eastAsia="Times New Roman" w:hAnsi="Times New Roman"/>
                <w:sz w:val="13"/>
                <w:szCs w:val="13"/>
                <w:color w:val="0000FF"/>
              </w:rPr>
              <w:t>buy)</w:t>
            </w:r>
          </w:p>
        </w:tc>
        <w:tc>
          <w:tcPr>
            <w:tcW w:w="3580" w:type="dxa"/>
            <w:vAlign w:val="bottom"/>
            <w:vMerge w:val="restart"/>
          </w:tcPr>
          <w:p>
            <w:pPr>
              <w:ind w:left="3300"/>
              <w:spacing w:after="0"/>
              <w:rPr>
                <w:sz w:val="20"/>
                <w:szCs w:val="20"/>
                <w:color w:val="auto"/>
              </w:rPr>
            </w:pPr>
            <w:r>
              <w:rPr>
                <w:rFonts w:ascii="Times New Roman" w:cs="Times New Roman" w:eastAsia="Times New Roman" w:hAnsi="Times New Roman"/>
                <w:sz w:val="13"/>
                <w:szCs w:val="13"/>
                <w:color w:val="0000FF"/>
                <w:w w:val="92"/>
              </w:rPr>
              <w:t>value</w:t>
            </w:r>
          </w:p>
        </w:tc>
        <w:tc>
          <w:tcPr>
            <w:tcW w:w="0" w:type="dxa"/>
            <w:vAlign w:val="bottom"/>
          </w:tcPr>
          <w:p>
            <w:pPr>
              <w:spacing w:after="0"/>
              <w:rPr>
                <w:sz w:val="1"/>
                <w:szCs w:val="1"/>
                <w:color w:val="auto"/>
              </w:rPr>
            </w:pPr>
          </w:p>
        </w:tc>
      </w:tr>
      <w:tr>
        <w:trPr>
          <w:trHeight w:val="63"/>
        </w:trPr>
        <w:tc>
          <w:tcPr>
            <w:tcW w:w="3540" w:type="dxa"/>
            <w:vAlign w:val="bottom"/>
          </w:tcPr>
          <w:p>
            <w:pPr>
              <w:spacing w:after="0"/>
              <w:rPr>
                <w:sz w:val="5"/>
                <w:szCs w:val="5"/>
                <w:color w:val="auto"/>
              </w:rPr>
            </w:pPr>
          </w:p>
        </w:tc>
        <w:tc>
          <w:tcPr>
            <w:tcW w:w="3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6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reports securities disposed pursuant to the Agreement and Plan of Merger (the "Merger Agreement"), dated as of May 29, 2025, by and among the Issuer, Mist Holding Co. ("Parent"), and MD BE Merger Sub, Inc., a wholly owned subsidiary of Parent ("Merger Sub"), pursuant to which Merger Sub merged with and into the Issuer, effective as of August 12, 2025, with the Issuer surviving the Merger as a wholly owned subsidiary of Parent (the "Merger"). Pursuant to the terms of the Merger Agreement, at the effective time of the Merger (the "Effective Time"), each share of common stock, par value $0.01 per share, of the Company ("Common Stock") issued and outstanding as of immediately prior to the Effective Time was canceled and converted into the right to receive $5.34 in cash, without interest (the "Merger Consideration").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in the account of Tamarack Advisers, LP (the "Holder") and may be deemed to be beneficially owned by Justin J. Ferayorni, the managing member of the general parter of the Holder.</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Issuer effected a 1-for-15 reverse stock split of its common stock on October 4, 2024. The number of securities reported on this Form 4 has been adjusted to reflect the reverse stock split.</w:t>
      </w:r>
    </w:p>
    <w:p>
      <w:pPr>
        <w:spacing w:after="0" w:line="44" w:lineRule="exact"/>
        <w:rPr>
          <w:rFonts w:ascii="Times New Roman" w:cs="Times New Roman" w:eastAsia="Times New Roman" w:hAnsi="Times New Roman"/>
          <w:sz w:val="13"/>
          <w:szCs w:val="13"/>
          <w:color w:val="008000"/>
        </w:rPr>
      </w:pPr>
    </w:p>
    <w:p>
      <w:pPr>
        <w:ind w:left="40" w:right="18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warrant to purchase shares of Common Stock (each, a "Company Warrant") that was outstanding and unexercised and had a per share exercise price that was less than the Merger Consideration was canceled and converted into the right to receive (i) a cash payment equal to (A) the number of shares of Common Stock subject to the Company Warrant immediately prior to the Effective Time multiplied by (B) the excess, if any, of (x) the Merger Consideration over (y) the exercise price per share of Common Stock of such Company Warrant, less applicable withholding taxes. Each Company Warrant that was outstanding and unexercised with a per share exercise price that was equal to or greater than the Merger Consideration was canceled for no consideration.</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owned directly by The Ferayorni Family Trust for which Mr. Ferayorni serves as co-trustee.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Justin Ferayorni</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08/14/2025</w:t>
            </w: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7"/>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0497" TargetMode="External"/><Relationship Id="rId14" Type="http://schemas.openxmlformats.org/officeDocument/2006/relationships/hyperlink" Target="http://www.sec.gov/cgi-bin/browse-edgar?action=getcompany&amp;CIK=00010085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2025-08-14T11:55:35Z</dcterms:created>
  <dcterms:modified xsi:type="dcterms:W3CDTF">2025-08-14T11:55:35Z</dcterms:modified>
</cp:coreProperties>
</file>