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Sides David William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STREAMLINE HEALTH SOLUTIONS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STRM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 PEACHTREE ST NE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600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ATLANTA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$.01 par value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$.01 par value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benefit of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01/31/2025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value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previously reported acquisition of this derivative security on Form 4 filed by the reporting person on February 3, 2015 was erroneously filed due to clerical error. No such derivative security was acquired or awarded.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shall vest and become exercisable as follows: One-half of the options shall vest on the one-year anniversary of the grant date, and one-twelfth shall vest on each of the thirteen- through twenty-four-month anniversaries of the grant date, subject to the reporting person's continued employment over the vesting period.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Jack W. Kennedy Jr.,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 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9248" TargetMode="External"/><Relationship Id="rId13" Type="http://schemas.openxmlformats.org/officeDocument/2006/relationships/hyperlink" Target="http://www.sec.gov/cgi-bin/browse-edgar?action=getcompany&amp;CIK=0001008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2019-12-06T16:22:08Z</dcterms:created>
  <dcterms:modified xsi:type="dcterms:W3CDTF">2019-12-06T16:22:08Z</dcterms:modified>
</cp:coreProperties>
</file>