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STREAMLINE HEALTH 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86323X205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86323X205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Beryl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86323X205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Beryl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86323X205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Beryl Capital Partners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86323X205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A. Witkin</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STREAMLINE HEALTH SOLUTIONS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2400 Old Milton Pkwy., Box 1353, Alpharetta, GA 30009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20"/>
        <w:spacing w:after="0" w:line="253" w:lineRule="auto"/>
        <w:rPr>
          <w:sz w:val="20"/>
          <w:szCs w:val="20"/>
          <w:color w:val="auto"/>
        </w:rPr>
      </w:pPr>
      <w:r>
        <w:rPr>
          <w:rFonts w:ascii="Times New Roman" w:cs="Times New Roman" w:eastAsia="Times New Roman" w:hAnsi="Times New Roman"/>
          <w:sz w:val="21"/>
          <w:szCs w:val="21"/>
          <w:color w:val="auto"/>
        </w:rPr>
        <w:t>Beryl Capital Management LLC, a Delaware limited liability company ("Beryl") Beryl Capital Management LP, a Delaware limited partnership ("Beryl GP") Beryl Capital Partners II LP, a Delaware limited partnership (the</w:t>
      </w:r>
    </w:p>
    <w:p>
      <w:pPr>
        <w:spacing w:after="0" w:line="1" w:lineRule="exact"/>
        <w:rPr>
          <w:sz w:val="20"/>
          <w:szCs w:val="20"/>
          <w:color w:val="auto"/>
        </w:rPr>
      </w:pPr>
    </w:p>
    <w:p>
      <w:pPr>
        <w:ind w:left="92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"Partnership") David A. Witkin Beryl is the investment adviser to the Partnership and other accounts. Beryl is the general partner of Beryl GP, which is the general partner of the Partnership and other private investment funds. Mr. Witkin is the control person of Beryl. Each reporting person disclaims beneficial ownership of Common Stock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Common Stock covered by this Schedule 13G.</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225 Avenue I, Suite 205 Redondo Beach, CA 90277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the cover sheet for each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line="79"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86323X205</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Beryl: 0 Beryl GP: 0 Partnership: 0 David A Witkin: 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Beryl: 0% Beryl GP: 0% Partnership: 0% David A. Witkin: 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Beryl: 0 Beryl GP: 0 Partnership: 0 David A. Witkin: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Beryl: 0 Beryl GP: 0 Partnership: 0 David A Witkin: 0</w:t>
      </w:r>
    </w:p>
    <w:p>
      <w:pPr>
        <w:spacing w:after="0" w:line="287" w:lineRule="exact"/>
        <w:rPr>
          <w:sz w:val="20"/>
          <w:szCs w:val="20"/>
          <w:color w:val="auto"/>
        </w:rPr>
      </w:pPr>
    </w:p>
    <w:p>
      <w:pPr>
        <w:ind w:left="920" w:right="5280" w:firstLine="6"/>
        <w:spacing w:after="0" w:line="509" w:lineRule="auto"/>
        <w:tabs>
          <w:tab w:leader="none" w:pos="129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Beryl: 0 Beryl GP: 0 Partnership: 0 David A. Witkin: 0</w:t>
      </w:r>
    </w:p>
    <w:p>
      <w:pPr>
        <w:spacing w:after="0" w:line="1" w:lineRule="exact"/>
        <w:rPr>
          <w:rFonts w:ascii="Times New Roman" w:cs="Times New Roman" w:eastAsia="Times New Roman" w:hAnsi="Times New Roman"/>
          <w:sz w:val="21"/>
          <w:szCs w:val="21"/>
          <w:color w:val="auto"/>
        </w:rPr>
      </w:pPr>
    </w:p>
    <w:p>
      <w:pPr>
        <w:ind w:left="920" w:right="5080" w:firstLine="6"/>
        <w:spacing w:after="0" w:line="509" w:lineRule="auto"/>
        <w:tabs>
          <w:tab w:leader="none" w:pos="128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Beryl: 0 Beryl GP: 0 Partnership: 0 David A Witkin: 0</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18" w:orient="portrait"/>
          <w:cols w:equalWidth="0" w:num="1">
            <w:col w:w="11100"/>
          </w:cols>
          <w:pgMar w:left="360" w:top="112" w:right="43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918" w:orient="portrait"/>
          <w:cols w:equalWidth="0" w:num="2">
            <w:col w:w="720" w:space="200"/>
            <w:col w:w="10180"/>
          </w:cols>
          <w:pgMar w:left="360" w:top="112" w:right="439" w:bottom="0" w:gutter="0" w:footer="0" w:header="0"/>
          <w:type w:val="continuous"/>
        </w:sectPr>
      </w:pPr>
    </w:p>
    <w:p>
      <w:pPr>
        <w:ind w:left="940"/>
        <w:spacing w:after="0" w:line="255"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w:t>
      </w:r>
    </w:p>
    <w:p>
      <w:pPr>
        <w:sectPr>
          <w:pgSz w:w="11900" w:h="16918" w:orient="portrait"/>
          <w:cols w:equalWidth="0" w:num="1">
            <w:col w:w="11100"/>
          </w:cols>
          <w:pgMar w:left="360" w:top="112" w:right="439" w:bottom="0" w:gutter="0" w:footer="0" w:header="0"/>
          <w:type w:val="continuous"/>
        </w:sectPr>
      </w:pPr>
    </w:p>
    <w:bookmarkStart w:id="5" w:name="page6"/>
    <w:bookmarkEnd w:id="5"/>
    <w:p>
      <w:pPr>
        <w:ind w:left="940"/>
        <w:spacing w:after="0" w:line="238" w:lineRule="auto"/>
        <w:rPr>
          <w:sz w:val="20"/>
          <w:szCs w:val="20"/>
          <w:color w:val="auto"/>
        </w:rPr>
      </w:pPr>
      <w:r>
        <w:rPr>
          <w:rFonts w:ascii="Times New Roman" w:cs="Times New Roman" w:eastAsia="Times New Roman" w:hAnsi="Times New Roman"/>
          <w:sz w:val="22"/>
          <w:szCs w:val="22"/>
          <w:color w:val="auto"/>
        </w:rPr>
        <w:t>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Beryl Capital Management LLC</w:t>
      </w:r>
    </w:p>
    <w:p>
      <w:pPr>
        <w:spacing w:after="0" w:line="152"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Nelson</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Name/Title: Chief Operating Officer</w:t>
      </w:r>
    </w:p>
    <w:p>
      <w:pPr>
        <w:spacing w:after="0" w:line="44"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Beryl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Nelson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Chief Operating Officer of Beryl Capital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Management LLC, General Partner of Beryl</w:t>
      </w:r>
    </w:p>
    <w:p>
      <w:pPr>
        <w:ind w:left="6740"/>
        <w:spacing w:after="0"/>
        <w:rPr>
          <w:sz w:val="20"/>
          <w:szCs w:val="20"/>
          <w:color w:val="auto"/>
        </w:rPr>
      </w:pPr>
      <w:r>
        <w:rPr>
          <w:rFonts w:ascii="Times New Roman" w:cs="Times New Roman" w:eastAsia="Times New Roman" w:hAnsi="Times New Roman"/>
          <w:sz w:val="22"/>
          <w:szCs w:val="22"/>
          <w:color w:val="auto"/>
        </w:rPr>
        <w:t>Capital Management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Beryl Capital Partners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Nelson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COO of Beryl Capital Management LLC, General</w:t>
      </w:r>
    </w:p>
    <w:p>
      <w:pPr>
        <w:spacing w:after="0" w:line="16"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22"/>
          <w:szCs w:val="22"/>
          <w:color w:val="auto"/>
        </w:rPr>
        <w:t>Name/Title: Partner of Beryl Capital Management LP, General</w:t>
      </w:r>
    </w:p>
    <w:p>
      <w:pPr>
        <w:jc w:val="center"/>
        <w:ind w:left="5640"/>
        <w:spacing w:after="0"/>
        <w:rPr>
          <w:sz w:val="20"/>
          <w:szCs w:val="20"/>
          <w:color w:val="auto"/>
        </w:rPr>
      </w:pPr>
      <w:r>
        <w:rPr>
          <w:rFonts w:ascii="Times New Roman" w:cs="Times New Roman" w:eastAsia="Times New Roman" w:hAnsi="Times New Roman"/>
          <w:sz w:val="22"/>
          <w:szCs w:val="22"/>
          <w:color w:val="auto"/>
        </w:rPr>
        <w:t>Partner of Beryl Capital Partners II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David A. Witkin</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A. Witkin</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Reporting person</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3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99 - Agreement Regarding Joint Filing of Statement on Schedule 13D or 13G</w:t>
      </w:r>
    </w:p>
    <w:p>
      <w:pPr>
        <w:sectPr>
          <w:pgSz w:w="11900" w:h="16838" w:orient="portrait"/>
          <w:cols w:equalWidth="0" w:num="1">
            <w:col w:w="11140"/>
          </w:cols>
          <w:pgMar w:left="360" w:top="111" w:right="3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color w:val="auto"/>
        </w:rPr>
        <w:t>EXHIBIT 99.1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Beryl Capital Management,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Dated: </w:t>
      </w:r>
      <w:r>
        <w:rPr>
          <w:rFonts w:ascii="Times New Roman" w:cs="Times New Roman" w:eastAsia="Times New Roman" w:hAnsi="Times New Roman"/>
          <w:sz w:val="21"/>
          <w:szCs w:val="21"/>
          <w:color w:val="auto"/>
        </w:rPr>
        <w:t>November 14,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60" w:type="dxa"/>
            <w:vAlign w:val="bottom"/>
            <w:gridSpan w:val="5"/>
          </w:tcPr>
          <w:p>
            <w:pPr>
              <w:ind w:left="100"/>
              <w:spacing w:after="0"/>
              <w:rPr>
                <w:sz w:val="20"/>
                <w:szCs w:val="20"/>
                <w:color w:val="auto"/>
              </w:rPr>
            </w:pPr>
            <w:r>
              <w:rPr>
                <w:rFonts w:ascii="Times New Roman" w:cs="Times New Roman" w:eastAsia="Times New Roman" w:hAnsi="Times New Roman"/>
                <w:sz w:val="20"/>
                <w:szCs w:val="20"/>
                <w:b w:val="1"/>
                <w:bCs w:val="1"/>
                <w:color w:val="auto"/>
              </w:rPr>
              <w:t>BERYL CAPITAL MANAGEMENT LLC</w:t>
            </w: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BERYL CAPITAL MANAGEMENT LP</w:t>
            </w:r>
          </w:p>
        </w:tc>
        <w:tc>
          <w:tcPr>
            <w:tcW w:w="0" w:type="dxa"/>
            <w:vAlign w:val="bottom"/>
          </w:tcPr>
          <w:p>
            <w:pPr>
              <w:spacing w:after="0"/>
              <w:rPr>
                <w:sz w:val="1"/>
                <w:szCs w:val="1"/>
                <w:color w:val="auto"/>
              </w:rPr>
            </w:pPr>
          </w:p>
        </w:tc>
      </w:tr>
      <w:tr>
        <w:trPr>
          <w:trHeight w:val="444"/>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By:   Beryl Capital Management LLC</w:t>
            </w:r>
          </w:p>
        </w:tc>
        <w:tc>
          <w:tcPr>
            <w:tcW w:w="0" w:type="dxa"/>
            <w:vAlign w:val="bottom"/>
          </w:tcPr>
          <w:p>
            <w:pPr>
              <w:spacing w:after="0"/>
              <w:rPr>
                <w:sz w:val="1"/>
                <w:szCs w:val="1"/>
                <w:color w:val="auto"/>
              </w:rPr>
            </w:pPr>
          </w:p>
        </w:tc>
      </w:tr>
      <w:tr>
        <w:trPr>
          <w:trHeight w:val="258"/>
        </w:trPr>
        <w:tc>
          <w:tcPr>
            <w:tcW w:w="5760" w:type="dxa"/>
            <w:vAlign w:val="bottom"/>
            <w:gridSpan w:val="5"/>
            <w:vMerge w:val="restart"/>
          </w:tcPr>
          <w:p>
            <w:pPr>
              <w:ind w:left="100"/>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Andrew Nelson</w:t>
            </w:r>
          </w:p>
        </w:tc>
        <w:tc>
          <w:tcPr>
            <w:tcW w:w="548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General Partner</w:t>
            </w:r>
          </w:p>
        </w:tc>
        <w:tc>
          <w:tcPr>
            <w:tcW w:w="0" w:type="dxa"/>
            <w:vAlign w:val="bottom"/>
          </w:tcPr>
          <w:p>
            <w:pPr>
              <w:spacing w:after="0"/>
              <w:rPr>
                <w:sz w:val="1"/>
                <w:szCs w:val="1"/>
                <w:color w:val="auto"/>
              </w:rPr>
            </w:pPr>
          </w:p>
        </w:tc>
      </w:tr>
      <w:tr>
        <w:trPr>
          <w:trHeight w:val="244"/>
        </w:trPr>
        <w:tc>
          <w:tcPr>
            <w:tcW w:w="5760" w:type="dxa"/>
            <w:vAlign w:val="bottom"/>
            <w:gridSpan w:val="5"/>
            <w:vMerge w:val="continue"/>
          </w:tcPr>
          <w:p>
            <w:pPr>
              <w:spacing w:after="0"/>
              <w:rPr>
                <w:sz w:val="21"/>
                <w:szCs w:val="21"/>
                <w:color w:val="auto"/>
              </w:rPr>
            </w:pPr>
          </w:p>
        </w:tc>
        <w:tc>
          <w:tcPr>
            <w:tcW w:w="5480" w:type="dxa"/>
            <w:vAlign w:val="bottom"/>
            <w:gridSpan w:val="2"/>
            <w:vMerge w:val="restart"/>
          </w:tcPr>
          <w:p>
            <w:pPr>
              <w:ind w:left="640"/>
              <w:spacing w:after="0"/>
              <w:rPr>
                <w:sz w:val="20"/>
                <w:szCs w:val="20"/>
                <w:color w:val="auto"/>
              </w:rPr>
            </w:pPr>
            <w:r>
              <w:rPr>
                <w:rFonts w:ascii="Times New Roman" w:cs="Times New Roman" w:eastAsia="Times New Roman" w:hAnsi="Times New Roman"/>
                <w:sz w:val="20"/>
                <w:szCs w:val="20"/>
                <w:color w:val="auto"/>
                <w:w w:val="98"/>
              </w:rPr>
              <w:t xml:space="preserve">By:/s/ </w:t>
            </w:r>
            <w:r>
              <w:rPr>
                <w:rFonts w:ascii="Times New Roman" w:cs="Times New Roman" w:eastAsia="Times New Roman" w:hAnsi="Times New Roman"/>
                <w:sz w:val="20"/>
                <w:szCs w:val="20"/>
                <w:i w:val="1"/>
                <w:iCs w:val="1"/>
                <w:color w:val="auto"/>
                <w:w w:val="98"/>
              </w:rPr>
              <w:t>Andrew Nelson</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4940" w:type="dxa"/>
            <w:vAlign w:val="bottom"/>
            <w:tcBorders>
              <w:top w:val="single" w:sz="8" w:color="auto"/>
            </w:tcBorders>
            <w:gridSpan w:val="3"/>
          </w:tcPr>
          <w:p>
            <w:pPr>
              <w:ind w:left="100"/>
              <w:spacing w:after="0" w:line="207" w:lineRule="exact"/>
              <w:rPr>
                <w:sz w:val="20"/>
                <w:szCs w:val="20"/>
                <w:color w:val="auto"/>
              </w:rPr>
            </w:pPr>
            <w:r>
              <w:rPr>
                <w:rFonts w:ascii="Times New Roman" w:cs="Times New Roman" w:eastAsia="Times New Roman" w:hAnsi="Times New Roman"/>
                <w:sz w:val="20"/>
                <w:szCs w:val="20"/>
                <w:color w:val="auto"/>
              </w:rPr>
              <w:t>Andrew Nelson</w:t>
            </w:r>
          </w:p>
        </w:tc>
        <w:tc>
          <w:tcPr>
            <w:tcW w:w="260" w:type="dxa"/>
            <w:vAlign w:val="bottom"/>
          </w:tcPr>
          <w:p>
            <w:pPr>
              <w:spacing w:after="0"/>
              <w:rPr>
                <w:sz w:val="17"/>
                <w:szCs w:val="17"/>
                <w:color w:val="auto"/>
              </w:rPr>
            </w:pPr>
          </w:p>
        </w:tc>
        <w:tc>
          <w:tcPr>
            <w:tcW w:w="5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0" w:type="dxa"/>
            <w:vAlign w:val="bottom"/>
            <w:vMerge w:val="restart"/>
          </w:tcPr>
          <w:p>
            <w:pPr>
              <w:spacing w:after="0" w:line="20" w:lineRule="exact"/>
              <w:rPr>
                <w:sz w:val="1"/>
                <w:szCs w:val="1"/>
                <w:color w:val="auto"/>
              </w:rPr>
            </w:pPr>
          </w:p>
        </w:tc>
        <w:tc>
          <w:tcPr>
            <w:tcW w:w="52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0"/>
                <w:szCs w:val="20"/>
                <w:color w:val="auto"/>
              </w:rPr>
              <w:t>Chief Operating Officer</w:t>
            </w:r>
          </w:p>
        </w:tc>
        <w:tc>
          <w:tcPr>
            <w:tcW w:w="122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60" w:type="dxa"/>
            <w:vAlign w:val="bottom"/>
            <w:vMerge w:val="continue"/>
          </w:tcPr>
          <w:p>
            <w:pPr>
              <w:spacing w:after="0"/>
              <w:rPr>
                <w:sz w:val="17"/>
                <w:szCs w:val="17"/>
                <w:color w:val="auto"/>
              </w:rPr>
            </w:pPr>
          </w:p>
        </w:tc>
        <w:tc>
          <w:tcPr>
            <w:tcW w:w="5200" w:type="dxa"/>
            <w:vAlign w:val="bottom"/>
            <w:gridSpan w:val="4"/>
            <w:vMerge w:val="continue"/>
          </w:tcPr>
          <w:p>
            <w:pPr>
              <w:spacing w:after="0"/>
              <w:rPr>
                <w:sz w:val="17"/>
                <w:szCs w:val="17"/>
                <w:color w:val="auto"/>
              </w:rPr>
            </w:pPr>
          </w:p>
        </w:tc>
        <w:tc>
          <w:tcPr>
            <w:tcW w:w="1220" w:type="dxa"/>
            <w:vAlign w:val="bottom"/>
          </w:tcPr>
          <w:p>
            <w:pPr>
              <w:spacing w:after="0"/>
              <w:rPr>
                <w:sz w:val="17"/>
                <w:szCs w:val="17"/>
                <w:color w:val="auto"/>
              </w:rPr>
            </w:pPr>
          </w:p>
        </w:tc>
        <w:tc>
          <w:tcPr>
            <w:tcW w:w="42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Andrew Nelson</w:t>
            </w:r>
          </w:p>
        </w:tc>
        <w:tc>
          <w:tcPr>
            <w:tcW w:w="0" w:type="dxa"/>
            <w:vAlign w:val="bottom"/>
          </w:tcPr>
          <w:p>
            <w:pPr>
              <w:spacing w:after="0"/>
              <w:rPr>
                <w:sz w:val="1"/>
                <w:szCs w:val="1"/>
                <w:color w:val="auto"/>
              </w:rPr>
            </w:pPr>
          </w:p>
        </w:tc>
      </w:tr>
      <w:tr>
        <w:trPr>
          <w:trHeight w:val="258"/>
        </w:trPr>
        <w:tc>
          <w:tcPr>
            <w:tcW w:w="5760" w:type="dxa"/>
            <w:vAlign w:val="bottom"/>
            <w:gridSpan w:val="5"/>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BERYL CAPITAL PARTNERS II LP</w:t>
            </w:r>
          </w:p>
        </w:tc>
        <w:tc>
          <w:tcPr>
            <w:tcW w:w="1220" w:type="dxa"/>
            <w:vAlign w:val="bottom"/>
          </w:tcPr>
          <w:p>
            <w:pPr>
              <w:spacing w:after="0"/>
              <w:rPr>
                <w:sz w:val="22"/>
                <w:szCs w:val="22"/>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Operating Officer</w:t>
            </w:r>
          </w:p>
        </w:tc>
        <w:tc>
          <w:tcPr>
            <w:tcW w:w="0" w:type="dxa"/>
            <w:vAlign w:val="bottom"/>
          </w:tcPr>
          <w:p>
            <w:pPr>
              <w:spacing w:after="0"/>
              <w:rPr>
                <w:sz w:val="1"/>
                <w:szCs w:val="1"/>
                <w:color w:val="auto"/>
              </w:rPr>
            </w:pPr>
          </w:p>
        </w:tc>
      </w:tr>
      <w:tr>
        <w:trPr>
          <w:trHeight w:val="243"/>
        </w:trPr>
        <w:tc>
          <w:tcPr>
            <w:tcW w:w="5760" w:type="dxa"/>
            <w:vAlign w:val="bottom"/>
            <w:gridSpan w:val="5"/>
            <w:vMerge w:val="continue"/>
          </w:tcPr>
          <w:p>
            <w:pPr>
              <w:spacing w:after="0"/>
              <w:rPr>
                <w:sz w:val="21"/>
                <w:szCs w:val="21"/>
                <w:color w:val="auto"/>
              </w:rPr>
            </w:pPr>
          </w:p>
        </w:tc>
        <w:tc>
          <w:tcPr>
            <w:tcW w:w="12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1"/>
        </w:trPr>
        <w:tc>
          <w:tcPr>
            <w:tcW w:w="57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By: Beryl Capital Management LP</w:t>
            </w:r>
          </w:p>
        </w:tc>
        <w:tc>
          <w:tcPr>
            <w:tcW w:w="1220" w:type="dxa"/>
            <w:vAlign w:val="bottom"/>
          </w:tcPr>
          <w:p>
            <w:pPr>
              <w:spacing w:after="0"/>
              <w:rPr>
                <w:sz w:val="24"/>
                <w:szCs w:val="24"/>
                <w:color w:val="auto"/>
              </w:rPr>
            </w:pPr>
          </w:p>
        </w:tc>
        <w:tc>
          <w:tcPr>
            <w:tcW w:w="4260" w:type="dxa"/>
            <w:vAlign w:val="bottom"/>
          </w:tcPr>
          <w:p>
            <w:pPr>
              <w:jc w:val="center"/>
              <w:ind w:right="1121"/>
              <w:spacing w:after="0"/>
              <w:rPr>
                <w:sz w:val="20"/>
                <w:szCs w:val="20"/>
                <w:color w:val="auto"/>
              </w:rPr>
            </w:pPr>
            <w:r>
              <w:rPr>
                <w:rFonts w:ascii="Times New Roman" w:cs="Times New Roman" w:eastAsia="Times New Roman" w:hAnsi="Times New Roman"/>
                <w:sz w:val="20"/>
                <w:szCs w:val="20"/>
                <w:color w:val="auto"/>
                <w:w w:val="97"/>
              </w:rPr>
              <w:t xml:space="preserve">/s/ </w:t>
            </w:r>
            <w:r>
              <w:rPr>
                <w:rFonts w:ascii="Times New Roman" w:cs="Times New Roman" w:eastAsia="Times New Roman" w:hAnsi="Times New Roman"/>
                <w:sz w:val="20"/>
                <w:szCs w:val="20"/>
                <w:i w:val="1"/>
                <w:iCs w:val="1"/>
                <w:color w:val="auto"/>
                <w:w w:val="97"/>
              </w:rPr>
              <w:t>David A. Witkin</w:t>
            </w:r>
          </w:p>
        </w:tc>
        <w:tc>
          <w:tcPr>
            <w:tcW w:w="0" w:type="dxa"/>
            <w:vAlign w:val="bottom"/>
          </w:tcPr>
          <w:p>
            <w:pPr>
              <w:spacing w:after="0"/>
              <w:rPr>
                <w:sz w:val="1"/>
                <w:szCs w:val="1"/>
                <w:color w:val="auto"/>
              </w:rPr>
            </w:pPr>
          </w:p>
        </w:tc>
      </w:tr>
      <w:tr>
        <w:trPr>
          <w:trHeight w:val="23"/>
        </w:trPr>
        <w:tc>
          <w:tcPr>
            <w:tcW w:w="576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auto"/>
              </w:rPr>
              <w:t>General Partner</w:t>
            </w:r>
          </w:p>
        </w:tc>
        <w:tc>
          <w:tcPr>
            <w:tcW w:w="122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5760" w:type="dxa"/>
            <w:vAlign w:val="bottom"/>
            <w:gridSpan w:val="5"/>
            <w:vMerge w:val="continue"/>
          </w:tcPr>
          <w:p>
            <w:pPr>
              <w:spacing w:after="0"/>
              <w:rPr>
                <w:sz w:val="22"/>
                <w:szCs w:val="22"/>
                <w:color w:val="auto"/>
              </w:rPr>
            </w:pPr>
          </w:p>
        </w:tc>
        <w:tc>
          <w:tcPr>
            <w:tcW w:w="1220" w:type="dxa"/>
            <w:vAlign w:val="bottom"/>
          </w:tcPr>
          <w:p>
            <w:pPr>
              <w:spacing w:after="0"/>
              <w:rPr>
                <w:sz w:val="22"/>
                <w:szCs w:val="22"/>
                <w:color w:val="auto"/>
              </w:rPr>
            </w:pPr>
          </w:p>
        </w:tc>
        <w:tc>
          <w:tcPr>
            <w:tcW w:w="4260" w:type="dxa"/>
            <w:vAlign w:val="bottom"/>
          </w:tcPr>
          <w:p>
            <w:pPr>
              <w:jc w:val="center"/>
              <w:ind w:right="1121"/>
              <w:spacing w:after="0"/>
              <w:rPr>
                <w:sz w:val="20"/>
                <w:szCs w:val="20"/>
                <w:color w:val="auto"/>
              </w:rPr>
            </w:pPr>
            <w:r>
              <w:rPr>
                <w:rFonts w:ascii="Times New Roman" w:cs="Times New Roman" w:eastAsia="Times New Roman" w:hAnsi="Times New Roman"/>
                <w:sz w:val="20"/>
                <w:szCs w:val="20"/>
                <w:b w:val="1"/>
                <w:bCs w:val="1"/>
                <w:color w:val="auto"/>
                <w:w w:val="99"/>
              </w:rPr>
              <w:t>David A. Witkin</w:t>
            </w:r>
          </w:p>
        </w:tc>
        <w:tc>
          <w:tcPr>
            <w:tcW w:w="0" w:type="dxa"/>
            <w:vAlign w:val="bottom"/>
          </w:tcPr>
          <w:p>
            <w:pPr>
              <w:spacing w:after="0"/>
              <w:rPr>
                <w:sz w:val="1"/>
                <w:szCs w:val="1"/>
                <w:color w:val="auto"/>
              </w:rPr>
            </w:pPr>
          </w:p>
        </w:tc>
      </w:tr>
      <w:tr>
        <w:trPr>
          <w:trHeight w:val="430"/>
        </w:trPr>
        <w:tc>
          <w:tcPr>
            <w:tcW w:w="57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By: Beryl Capital Management LLC</w:t>
            </w:r>
          </w:p>
        </w:tc>
        <w:tc>
          <w:tcPr>
            <w:tcW w:w="1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7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General Partner</w:t>
            </w:r>
          </w:p>
        </w:tc>
        <w:tc>
          <w:tcPr>
            <w:tcW w:w="12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560" w:type="dxa"/>
            <w:vAlign w:val="bottom"/>
          </w:tcPr>
          <w:p>
            <w:pPr>
              <w:spacing w:after="0"/>
              <w:rPr>
                <w:sz w:val="24"/>
                <w:szCs w:val="24"/>
                <w:color w:val="auto"/>
              </w:rPr>
            </w:pPr>
          </w:p>
        </w:tc>
        <w:tc>
          <w:tcPr>
            <w:tcW w:w="52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 xml:space="preserve">By:/s/ </w:t>
            </w:r>
            <w:r>
              <w:rPr>
                <w:rFonts w:ascii="Times New Roman" w:cs="Times New Roman" w:eastAsia="Times New Roman" w:hAnsi="Times New Roman"/>
                <w:sz w:val="20"/>
                <w:szCs w:val="20"/>
                <w:i w:val="1"/>
                <w:iCs w:val="1"/>
                <w:color w:val="auto"/>
              </w:rPr>
              <w:t>Andrew Nelson</w:t>
            </w:r>
          </w:p>
        </w:tc>
        <w:tc>
          <w:tcPr>
            <w:tcW w:w="1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60" w:type="dxa"/>
            <w:vAlign w:val="bottom"/>
          </w:tcPr>
          <w:p>
            <w:pPr>
              <w:spacing w:after="0"/>
              <w:rPr>
                <w:sz w:val="22"/>
                <w:szCs w:val="22"/>
                <w:color w:val="auto"/>
              </w:rPr>
            </w:pPr>
          </w:p>
        </w:tc>
        <w:tc>
          <w:tcPr>
            <w:tcW w:w="52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Andrew Nelson</w:t>
            </w:r>
          </w:p>
        </w:tc>
        <w:tc>
          <w:tcPr>
            <w:tcW w:w="12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60" w:type="dxa"/>
            <w:vAlign w:val="bottom"/>
          </w:tcPr>
          <w:p>
            <w:pPr>
              <w:spacing w:after="0"/>
              <w:rPr>
                <w:sz w:val="22"/>
                <w:szCs w:val="22"/>
                <w:color w:val="auto"/>
              </w:rPr>
            </w:pPr>
          </w:p>
        </w:tc>
        <w:tc>
          <w:tcPr>
            <w:tcW w:w="52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Chief Operating Officer</w:t>
            </w:r>
          </w:p>
        </w:tc>
        <w:tc>
          <w:tcPr>
            <w:tcW w:w="12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2025-11-14T13:40:47Z</dcterms:created>
  <dcterms:modified xsi:type="dcterms:W3CDTF">2025-11-14T13:40:47Z</dcterms:modified>
</cp:coreProperties>
</file>