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27,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Streamline Health Solutions,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Delaware</w:t>
            </w:r>
          </w:p>
        </w:tc>
        <w:tc>
          <w:tcPr>
            <w:tcW w:w="54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0-28132</w:t>
            </w:r>
          </w:p>
        </w:tc>
        <w:tc>
          <w:tcPr>
            <w:tcW w:w="17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31-1455414</w:t>
            </w:r>
          </w:p>
        </w:tc>
      </w:tr>
      <w:tr>
        <w:trPr>
          <w:trHeight w:val="216"/>
        </w:trPr>
        <w:tc>
          <w:tcPr>
            <w:tcW w:w="2100" w:type="dxa"/>
            <w:vAlign w:val="bottom"/>
          </w:tcPr>
          <w:p>
            <w:pPr>
              <w:jc w:val="center"/>
              <w:ind w:right="110"/>
              <w:spacing w:after="0"/>
              <w:rPr>
                <w:sz w:val="20"/>
                <w:szCs w:val="20"/>
                <w:color w:val="auto"/>
              </w:rPr>
            </w:pPr>
            <w:r>
              <w:rPr>
                <w:rFonts w:ascii="Arial" w:cs="Arial" w:eastAsia="Arial" w:hAnsi="Arial"/>
                <w:sz w:val="18"/>
                <w:szCs w:val="18"/>
                <w:color w:val="auto"/>
                <w:w w:val="92"/>
              </w:rPr>
              <w:t>(State or other jurisdiction</w:t>
            </w:r>
          </w:p>
        </w:tc>
        <w:tc>
          <w:tcPr>
            <w:tcW w:w="5460" w:type="dxa"/>
            <w:vAlign w:val="bottom"/>
          </w:tcPr>
          <w:p>
            <w:pPr>
              <w:jc w:val="center"/>
              <w:ind w:right="10"/>
              <w:spacing w:after="0"/>
              <w:rPr>
                <w:sz w:val="20"/>
                <w:szCs w:val="20"/>
                <w:color w:val="auto"/>
              </w:rPr>
            </w:pPr>
            <w:r>
              <w:rPr>
                <w:rFonts w:ascii="Arial" w:cs="Arial" w:eastAsia="Arial" w:hAnsi="Arial"/>
                <w:sz w:val="18"/>
                <w:szCs w:val="18"/>
                <w:color w:val="auto"/>
                <w:w w:val="91"/>
              </w:rPr>
              <w:t>(Commission</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2100" w:type="dxa"/>
            <w:vAlign w:val="bottom"/>
          </w:tcPr>
          <w:p>
            <w:pPr>
              <w:jc w:val="center"/>
              <w:ind w:right="110"/>
              <w:spacing w:after="0"/>
              <w:rPr>
                <w:sz w:val="20"/>
                <w:szCs w:val="20"/>
                <w:color w:val="auto"/>
              </w:rPr>
            </w:pPr>
            <w:r>
              <w:rPr>
                <w:rFonts w:ascii="Arial" w:cs="Arial" w:eastAsia="Arial" w:hAnsi="Arial"/>
                <w:sz w:val="18"/>
                <w:szCs w:val="18"/>
                <w:color w:val="auto"/>
                <w:w w:val="93"/>
              </w:rPr>
              <w:t>of incorporation)</w:t>
            </w:r>
          </w:p>
        </w:tc>
        <w:tc>
          <w:tcPr>
            <w:tcW w:w="5460" w:type="dxa"/>
            <w:vAlign w:val="bottom"/>
          </w:tcPr>
          <w:p>
            <w:pPr>
              <w:jc w:val="center"/>
              <w:ind w:right="10"/>
              <w:spacing w:after="0"/>
              <w:rPr>
                <w:sz w:val="20"/>
                <w:szCs w:val="20"/>
                <w:color w:val="auto"/>
              </w:rPr>
            </w:pPr>
            <w:r>
              <w:rPr>
                <w:rFonts w:ascii="Arial" w:cs="Arial" w:eastAsia="Arial" w:hAnsi="Arial"/>
                <w:sz w:val="18"/>
                <w:szCs w:val="18"/>
                <w:color w:val="auto"/>
                <w:w w:val="92"/>
              </w:rPr>
              <w:t>File Number)</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5"/>
              </w:rPr>
              <w:t>Identification No.)</w:t>
            </w:r>
          </w:p>
        </w:tc>
      </w:tr>
      <w:tr>
        <w:trPr>
          <w:trHeight w:val="630"/>
        </w:trPr>
        <w:tc>
          <w:tcPr>
            <w:tcW w:w="210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11800 Amber Park Dr., Suite 125</w:t>
            </w:r>
          </w:p>
        </w:tc>
        <w:tc>
          <w:tcPr>
            <w:tcW w:w="1700" w:type="dxa"/>
            <w:vAlign w:val="bottom"/>
          </w:tcPr>
          <w:p>
            <w:pPr>
              <w:spacing w:after="0"/>
              <w:rPr>
                <w:sz w:val="24"/>
                <w:szCs w:val="24"/>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Alpharetta, GA 30009</w:t>
            </w:r>
          </w:p>
        </w:tc>
        <w:tc>
          <w:tcPr>
            <w:tcW w:w="1700" w:type="dxa"/>
            <w:vAlign w:val="bottom"/>
          </w:tcPr>
          <w:p>
            <w:pPr>
              <w:spacing w:after="0"/>
              <w:rPr>
                <w:sz w:val="19"/>
                <w:szCs w:val="19"/>
                <w:color w:val="auto"/>
              </w:rPr>
            </w:pPr>
          </w:p>
        </w:tc>
      </w:tr>
      <w:tr>
        <w:trPr>
          <w:trHeight w:val="230"/>
        </w:trPr>
        <w:tc>
          <w:tcPr>
            <w:tcW w:w="2100" w:type="dxa"/>
            <w:vAlign w:val="bottom"/>
          </w:tcPr>
          <w:p>
            <w:pPr>
              <w:spacing w:after="0"/>
              <w:rPr>
                <w:sz w:val="20"/>
                <w:szCs w:val="20"/>
                <w:color w:val="auto"/>
              </w:rPr>
            </w:pPr>
          </w:p>
        </w:tc>
        <w:tc>
          <w:tcPr>
            <w:tcW w:w="546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 (Zip Code)</w:t>
            </w:r>
          </w:p>
        </w:tc>
        <w:tc>
          <w:tcPr>
            <w:tcW w:w="17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(888) 997-8732</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3"/>
        </w:trPr>
        <w:tc>
          <w:tcPr>
            <w:tcW w:w="4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STRM</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Capital Market</w:t>
            </w:r>
          </w:p>
        </w:tc>
      </w:tr>
    </w:tbl>
    <w:p>
      <w:pPr>
        <w:spacing w:after="0" w:line="183"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8"/>
        <w:spacing w:after="0" w:line="263"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August 27, 2021, the Compensation Committee of the Board of Directors of Streamline Health Solutions, Inc. (the “Company”) approved the following one-time cash bonus payments to certain of the named executive officers listed in the Company’s Definitive Proxy Statement on Schedule 14A filed with the Securities and Exchange Commission on April 22,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gridSpan w:val="2"/>
          </w:tcPr>
          <w:p>
            <w:pPr>
              <w:ind w:left="1480"/>
              <w:spacing w:after="0"/>
              <w:rPr>
                <w:sz w:val="20"/>
                <w:szCs w:val="20"/>
                <w:color w:val="auto"/>
              </w:rPr>
            </w:pPr>
            <w:r>
              <w:rPr>
                <w:rFonts w:ascii="Arial" w:cs="Arial" w:eastAsia="Arial" w:hAnsi="Arial"/>
                <w:sz w:val="18"/>
                <w:szCs w:val="18"/>
                <w:b w:val="1"/>
                <w:bCs w:val="1"/>
                <w:color w:val="auto"/>
              </w:rPr>
              <w:t>Name</w:t>
            </w:r>
          </w:p>
        </w:tc>
        <w:tc>
          <w:tcPr>
            <w:tcW w:w="5280" w:type="dxa"/>
            <w:vAlign w:val="bottom"/>
          </w:tcPr>
          <w:p>
            <w:pPr>
              <w:ind w:left="2320"/>
              <w:spacing w:after="0"/>
              <w:rPr>
                <w:sz w:val="20"/>
                <w:szCs w:val="20"/>
                <w:color w:val="auto"/>
              </w:rPr>
            </w:pPr>
            <w:r>
              <w:rPr>
                <w:rFonts w:ascii="Arial" w:cs="Arial" w:eastAsia="Arial" w:hAnsi="Arial"/>
                <w:sz w:val="18"/>
                <w:szCs w:val="18"/>
                <w:b w:val="1"/>
                <w:bCs w:val="1"/>
                <w:color w:val="auto"/>
              </w:rPr>
              <w:t>Position</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b w:val="1"/>
                <w:bCs w:val="1"/>
                <w:color w:val="auto"/>
              </w:rPr>
              <w:t>Bonus Amount</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Wyche T. “Tee” Green III</w:t>
            </w:r>
          </w:p>
        </w:tc>
        <w:tc>
          <w:tcPr>
            <w:tcW w:w="24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President, Chief Executive Officer and Chairman</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Thomas J. Gibson</w:t>
            </w:r>
          </w:p>
        </w:tc>
        <w:tc>
          <w:tcPr>
            <w:tcW w:w="528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 Officer</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70,000</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 Garvis</w:t>
            </w: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Vice President and Chief Operating Officer</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Such bonus payments are in recognition of the closing of the Company’s previously-disclosed acquisition of all of the issued and outstanding units of membership interest of Avelead Consulting, LLC, a Georgia limited liability company, and will be paid on or about September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Streamline Health Solutions, Inc.</w:t>
            </w:r>
          </w:p>
        </w:tc>
      </w:tr>
      <w:tr>
        <w:trPr>
          <w:trHeight w:val="439"/>
        </w:trPr>
        <w:tc>
          <w:tcPr>
            <w:tcW w:w="3720" w:type="dxa"/>
            <w:vAlign w:val="bottom"/>
          </w:tcPr>
          <w:p>
            <w:pPr>
              <w:spacing w:after="0"/>
              <w:rPr>
                <w:sz w:val="20"/>
                <w:szCs w:val="20"/>
                <w:color w:val="auto"/>
              </w:rPr>
            </w:pPr>
            <w:r>
              <w:rPr>
                <w:rFonts w:ascii="Arial" w:cs="Arial" w:eastAsia="Arial" w:hAnsi="Arial"/>
                <w:sz w:val="18"/>
                <w:szCs w:val="18"/>
                <w:color w:val="auto"/>
              </w:rPr>
              <w:t>Date: September 2, 2021</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Thomas J. Gibson</w:t>
            </w:r>
          </w:p>
        </w:tc>
      </w:tr>
      <w:tr>
        <w:trPr>
          <w:trHeight w:val="202"/>
        </w:trPr>
        <w:tc>
          <w:tcPr>
            <w:tcW w:w="3720" w:type="dxa"/>
            <w:vAlign w:val="bottom"/>
          </w:tcPr>
          <w:p>
            <w:pPr>
              <w:spacing w:after="0"/>
              <w:rPr>
                <w:sz w:val="17"/>
                <w:szCs w:val="17"/>
                <w:color w:val="auto"/>
              </w:rPr>
            </w:pPr>
          </w:p>
        </w:tc>
        <w:tc>
          <w:tcPr>
            <w:tcW w:w="248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Thomas J. Gibson</w:t>
            </w:r>
          </w:p>
        </w:tc>
      </w:tr>
      <w:tr>
        <w:trPr>
          <w:trHeight w:val="230"/>
        </w:trPr>
        <w:tc>
          <w:tcPr>
            <w:tcW w:w="372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2021-09-02T15:07:07Z</dcterms:created>
  <dcterms:modified xsi:type="dcterms:W3CDTF">2021-09-02T15:07:07Z</dcterms:modified>
</cp:coreProperties>
</file>